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C54498" w:rsidRDefault="0021757D" w:rsidP="0021757D">
      <w:pPr>
        <w:jc w:val="center"/>
        <w:rPr>
          <w:rFonts w:eastAsia="標楷體"/>
          <w:sz w:val="28"/>
          <w:szCs w:val="28"/>
        </w:rPr>
      </w:pPr>
      <w:r w:rsidRPr="00C54498">
        <w:rPr>
          <w:rFonts w:ascii="標楷體" w:eastAsia="標楷體" w:hAnsi="標楷體" w:hint="eastAsia"/>
          <w:b/>
          <w:spacing w:val="32"/>
          <w:sz w:val="28"/>
          <w:szCs w:val="28"/>
        </w:rPr>
        <w:t>「</w:t>
      </w:r>
      <w:r w:rsidR="00FF5C3A">
        <w:rPr>
          <w:rFonts w:ascii="標楷體" w:eastAsia="標楷體" w:hAnsi="標楷體" w:hint="eastAsia"/>
          <w:sz w:val="28"/>
          <w:szCs w:val="28"/>
        </w:rPr>
        <w:t xml:space="preserve">國外市場分析報告 </w:t>
      </w:r>
      <w:r w:rsidR="0077779B" w:rsidRPr="00C54498">
        <w:rPr>
          <w:rFonts w:ascii="標楷體" w:eastAsia="標楷體" w:hAnsi="標楷體" w:hint="eastAsia"/>
          <w:b/>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D65406" w:rsidRPr="00C54498">
            <w:rPr>
              <w:rFonts w:eastAsia="標楷體" w:hint="eastAsia"/>
              <w:sz w:val="28"/>
              <w:szCs w:val="28"/>
            </w:rPr>
            <w:t>公開招標</w:t>
          </w:r>
          <w:r w:rsidR="007A6E38">
            <w:rPr>
              <w:rFonts w:eastAsia="標楷體" w:hint="eastAsia"/>
              <w:sz w:val="28"/>
              <w:szCs w:val="28"/>
            </w:rPr>
            <w:t>第</w:t>
          </w:r>
          <w:r w:rsidR="007A6E38">
            <w:rPr>
              <w:rFonts w:eastAsia="標楷體" w:hint="eastAsia"/>
              <w:sz w:val="28"/>
              <w:szCs w:val="28"/>
            </w:rPr>
            <w:t>2</w:t>
          </w:r>
          <w:r w:rsidR="007A6E38">
            <w:rPr>
              <w:rFonts w:eastAsia="標楷體" w:hint="eastAsia"/>
              <w:sz w:val="28"/>
              <w:szCs w:val="28"/>
            </w:rPr>
            <w:t>次</w:t>
          </w:r>
          <w:r w:rsidR="00D65406" w:rsidRPr="00C54498">
            <w:rPr>
              <w:rFonts w:eastAsia="標楷體" w:hint="eastAsia"/>
              <w:sz w:val="28"/>
              <w:szCs w:val="28"/>
            </w:rPr>
            <w:t>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71248F">
        <w:rPr>
          <w:rFonts w:hAnsi="標楷體" w:hint="eastAsia"/>
          <w:sz w:val="24"/>
          <w:szCs w:val="24"/>
        </w:rPr>
        <w:t xml:space="preserve"> </w:t>
      </w:r>
      <w:r w:rsidR="00543C5D">
        <w:rPr>
          <w:rFonts w:hAnsi="標楷體" w:hint="eastAsia"/>
          <w:sz w:val="24"/>
          <w:szCs w:val="24"/>
        </w:rPr>
        <w:t>1</w:t>
      </w:r>
      <w:r w:rsidR="001C2693">
        <w:rPr>
          <w:rFonts w:hAnsi="標楷體" w:hint="eastAsia"/>
          <w:sz w:val="24"/>
          <w:szCs w:val="24"/>
        </w:rPr>
        <w:t>1</w:t>
      </w:r>
      <w:r w:rsidRPr="006F7D96">
        <w:rPr>
          <w:rFonts w:hAnsi="標楷體" w:hint="eastAsia"/>
          <w:sz w:val="24"/>
          <w:szCs w:val="24"/>
        </w:rPr>
        <w:t>月</w:t>
      </w:r>
      <w:r w:rsidR="001C2693">
        <w:rPr>
          <w:rFonts w:hAnsi="標楷體" w:hint="eastAsia"/>
          <w:sz w:val="24"/>
          <w:szCs w:val="24"/>
        </w:rPr>
        <w:t>1</w:t>
      </w:r>
      <w:r w:rsidRPr="006F7D96">
        <w:rPr>
          <w:rFonts w:hAnsi="標楷體" w:hint="eastAsia"/>
          <w:sz w:val="24"/>
          <w:szCs w:val="24"/>
        </w:rPr>
        <w:t>日          案號:</w:t>
      </w:r>
      <w:r w:rsidR="0033237D">
        <w:rPr>
          <w:rFonts w:hAnsi="標楷體" w:hint="eastAsia"/>
          <w:sz w:val="24"/>
          <w:szCs w:val="24"/>
        </w:rPr>
        <w:t>10610235</w:t>
      </w:r>
      <w:r w:rsidRPr="006F7D96">
        <w:rPr>
          <w:rFonts w:hAnsi="標楷體" w:hint="eastAsia"/>
          <w:sz w:val="24"/>
          <w:szCs w:val="24"/>
        </w:rPr>
        <w:t>號</w:t>
      </w:r>
    </w:p>
    <w:p w:rsidR="001A22F2" w:rsidRDefault="001A22F2" w:rsidP="001A22F2"/>
    <w:p w:rsidR="00FF5C3A" w:rsidRDefault="00FF5C3A" w:rsidP="001A22F2"/>
    <w:p w:rsidR="001B44BD" w:rsidRPr="00080968" w:rsidRDefault="0021757D" w:rsidP="00787089">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FF5C3A">
        <w:rPr>
          <w:rFonts w:ascii="標楷體" w:eastAsia="標楷體" w:hAnsi="標楷體" w:hint="eastAsia"/>
          <w:sz w:val="28"/>
          <w:szCs w:val="28"/>
        </w:rPr>
        <w:t xml:space="preserve">國外市場分析報告 </w:t>
      </w:r>
      <w:r w:rsidR="00D627E5">
        <w:rPr>
          <w:rFonts w:ascii="標楷體" w:eastAsia="標楷體" w:hAnsi="標楷體" w:hint="eastAsia"/>
          <w:sz w:val="28"/>
          <w:szCs w:val="28"/>
        </w:rPr>
        <w:t xml:space="preserve"> </w:t>
      </w:r>
    </w:p>
    <w:p w:rsid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7042CF">
        <w:rPr>
          <w:rFonts w:ascii="標楷體" w:eastAsia="標楷體" w:hAnsi="標楷體" w:hint="eastAsia"/>
          <w:sz w:val="28"/>
          <w:szCs w:val="28"/>
        </w:rPr>
        <w:t>1</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8646D2">
        <w:rPr>
          <w:rFonts w:ascii="標楷體" w:eastAsia="標楷體" w:hAnsi="標楷體" w:hint="eastAsia"/>
          <w:sz w:val="28"/>
          <w:szCs w:val="28"/>
        </w:rPr>
        <w:t>1</w:t>
      </w:r>
      <w:r w:rsidR="00FF5C3A">
        <w:rPr>
          <w:rFonts w:ascii="標楷體" w:eastAsia="標楷體" w:hAnsi="標楷體" w:hint="eastAsia"/>
          <w:sz w:val="28"/>
          <w:szCs w:val="28"/>
        </w:rPr>
        <w:t>1</w:t>
      </w:r>
      <w:r w:rsidRPr="000F3C97">
        <w:rPr>
          <w:rFonts w:ascii="標楷體" w:eastAsia="標楷體" w:hAnsi="標楷體" w:hint="eastAsia"/>
          <w:sz w:val="28"/>
          <w:szCs w:val="28"/>
        </w:rPr>
        <w:t>月</w:t>
      </w:r>
      <w:r w:rsidR="007A6E38">
        <w:rPr>
          <w:rFonts w:ascii="標楷體" w:eastAsia="標楷體" w:hAnsi="標楷體" w:hint="eastAsia"/>
          <w:sz w:val="28"/>
          <w:szCs w:val="28"/>
        </w:rPr>
        <w:t>20</w:t>
      </w:r>
      <w:r w:rsidRPr="000F3C97">
        <w:rPr>
          <w:rFonts w:ascii="標楷體" w:eastAsia="標楷體" w:hAnsi="標楷體" w:hint="eastAsia"/>
          <w:sz w:val="28"/>
          <w:szCs w:val="28"/>
        </w:rPr>
        <w:t>日</w:t>
      </w:r>
      <w:r w:rsidR="006F024E">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787089">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8646D2">
        <w:rPr>
          <w:rFonts w:ascii="標楷體" w:eastAsia="標楷體" w:hAnsi="標楷體" w:hint="eastAsia"/>
          <w:sz w:val="28"/>
          <w:szCs w:val="28"/>
        </w:rPr>
        <w:t>1</w:t>
      </w:r>
      <w:r w:rsidR="00AC0D9C">
        <w:rPr>
          <w:rFonts w:ascii="標楷體" w:eastAsia="標楷體" w:hAnsi="標楷體" w:hint="eastAsia"/>
          <w:sz w:val="28"/>
          <w:szCs w:val="28"/>
        </w:rPr>
        <w:t>1月</w:t>
      </w:r>
      <w:r w:rsidR="007A6E38">
        <w:rPr>
          <w:rFonts w:ascii="標楷體" w:eastAsia="標楷體" w:hAnsi="標楷體" w:hint="eastAsia"/>
          <w:sz w:val="28"/>
          <w:szCs w:val="28"/>
        </w:rPr>
        <w:t>21</w:t>
      </w:r>
      <w:r w:rsidR="00AC0D9C">
        <w:rPr>
          <w:rFonts w:ascii="標楷體" w:eastAsia="標楷體" w:hAnsi="標楷體" w:hint="eastAsia"/>
          <w:sz w:val="28"/>
          <w:szCs w:val="28"/>
        </w:rPr>
        <w:t>日</w:t>
      </w:r>
      <w:r w:rsidR="0086672F">
        <w:rPr>
          <w:rFonts w:ascii="標楷體" w:eastAsia="標楷體" w:hAnsi="標楷體" w:hint="eastAsia"/>
          <w:sz w:val="28"/>
          <w:szCs w:val="28"/>
        </w:rPr>
        <w:t>1</w:t>
      </w:r>
      <w:r w:rsidR="00543C5D">
        <w:rPr>
          <w:rFonts w:ascii="標楷體" w:eastAsia="標楷體" w:hAnsi="標楷體" w:hint="eastAsia"/>
          <w:sz w:val="28"/>
          <w:szCs w:val="28"/>
        </w:rPr>
        <w:t>0</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1E6293">
            <w:rPr>
              <w:rFonts w:ascii="標楷體" w:eastAsia="標楷體" w:hAnsi="標楷體" w:hint="eastAsia"/>
              <w:sz w:val="28"/>
              <w:szCs w:val="28"/>
            </w:rPr>
            <w:t>121會議室</w:t>
          </w:r>
        </w:sdtContent>
      </w:sdt>
      <w:r w:rsidRPr="006F7D96">
        <w:rPr>
          <w:rFonts w:ascii="標楷體" w:eastAsia="標楷體" w:hAnsi="標楷體" w:hint="eastAsia"/>
          <w:sz w:val="28"/>
          <w:szCs w:val="28"/>
        </w:rPr>
        <w:t>。</w:t>
      </w:r>
    </w:p>
    <w:p w:rsidR="0021757D" w:rsidRPr="006F7D96" w:rsidRDefault="0021757D" w:rsidP="004D295D">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決標次日起</w:t>
      </w:r>
      <w:r w:rsidR="001606E5">
        <w:rPr>
          <w:rFonts w:ascii="標楷體" w:eastAsia="標楷體" w:hAnsi="標楷體" w:hint="eastAsia"/>
          <w:sz w:val="28"/>
          <w:szCs w:val="28"/>
        </w:rPr>
        <w:t>1</w:t>
      </w:r>
      <w:r w:rsidR="00FF5C3A">
        <w:rPr>
          <w:rFonts w:ascii="標楷體" w:eastAsia="標楷體" w:hAnsi="標楷體" w:hint="eastAsia"/>
          <w:sz w:val="28"/>
          <w:szCs w:val="28"/>
        </w:rPr>
        <w:t>5</w:t>
      </w:r>
      <w:r w:rsidR="001E6293">
        <w:rPr>
          <w:rFonts w:ascii="標楷體" w:eastAsia="標楷體" w:hAnsi="標楷體" w:hint="eastAsia"/>
          <w:sz w:val="28"/>
          <w:szCs w:val="28"/>
        </w:rPr>
        <w:t>天內</w:t>
      </w:r>
    </w:p>
    <w:p w:rsidR="0021757D" w:rsidRPr="004015BE" w:rsidRDefault="00667AA4" w:rsidP="00787089">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1"/>
            <w14:checkedState w14:val="0052" w14:font="Wingdings 2"/>
            <w14:uncheckedState w14:val="2610" w14:font="MS Gothic"/>
          </w14:checkbox>
        </w:sdtPr>
        <w:sdtEndPr/>
        <w:sdtContent>
          <w:r w:rsidR="00FD2296">
            <w:rPr>
              <w:rFonts w:ascii="標楷體" w:eastAsia="標楷體" w:hAnsi="標楷體" w:hint="eastAsia"/>
              <w:sz w:val="28"/>
              <w:szCs w:val="28"/>
            </w:rPr>
            <w:sym w:font="Wingdings 2" w:char="F052"/>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FD2296">
            <w:rPr>
              <w:rFonts w:ascii="標楷體" w:eastAsia="標楷體" w:hAnsi="標楷體" w:hint="eastAsia"/>
              <w:sz w:val="28"/>
              <w:szCs w:val="28"/>
            </w:rPr>
            <w:sym w:font="Wingdings 2" w:char="F052"/>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1606E5">
            <w:rPr>
              <w:rFonts w:ascii="MS Gothic" w:eastAsia="MS Gothic" w:hAnsi="MS Gothic" w:hint="eastAsia"/>
              <w:sz w:val="28"/>
              <w:szCs w:val="28"/>
            </w:rPr>
            <w:t>☐</w:t>
          </w:r>
        </w:sdtContent>
      </w:sdt>
      <w:r w:rsidR="0021757D" w:rsidRPr="004015BE">
        <w:rPr>
          <w:rFonts w:ascii="標楷體" w:eastAsia="標楷體" w:hAnsi="標楷體" w:hint="eastAsia"/>
          <w:sz w:val="28"/>
          <w:szCs w:val="28"/>
        </w:rPr>
        <w:t>保固保證金：3%</w:t>
      </w:r>
    </w:p>
    <w:p w:rsidR="0021757D" w:rsidRPr="006F7D96" w:rsidRDefault="0021757D" w:rsidP="00787089">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6B5AE4" w:rsidRDefault="006B5AE4" w:rsidP="00244F8D">
      <w:pPr>
        <w:widowControl/>
        <w:spacing w:before="100" w:beforeAutospacing="1" w:after="100" w:afterAutospacing="1" w:line="320" w:lineRule="exact"/>
        <w:rPr>
          <w:rFonts w:ascii="標楷體" w:eastAsia="標楷體" w:hAnsi="標楷體"/>
          <w:b/>
          <w:sz w:val="28"/>
          <w:szCs w:val="28"/>
        </w:rPr>
      </w:pPr>
    </w:p>
    <w:p w:rsidR="001C2693" w:rsidRDefault="001C2693" w:rsidP="00AF0B08">
      <w:pPr>
        <w:spacing w:line="480" w:lineRule="exact"/>
        <w:rPr>
          <w:rFonts w:ascii="標楷體" w:eastAsia="標楷體" w:hAnsi="標楷體"/>
          <w:sz w:val="28"/>
          <w:szCs w:val="28"/>
        </w:rPr>
      </w:pPr>
    </w:p>
    <w:p w:rsidR="001C2693" w:rsidRDefault="001C2693" w:rsidP="00AF0B08">
      <w:pPr>
        <w:spacing w:line="480" w:lineRule="exact"/>
        <w:rPr>
          <w:rFonts w:ascii="標楷體" w:eastAsia="標楷體" w:hAnsi="標楷體"/>
          <w:sz w:val="28"/>
          <w:szCs w:val="28"/>
        </w:rPr>
      </w:pPr>
    </w:p>
    <w:p w:rsidR="001C2693" w:rsidRDefault="001C2693" w:rsidP="00AF0B08">
      <w:pPr>
        <w:spacing w:line="480" w:lineRule="exact"/>
        <w:rPr>
          <w:rFonts w:ascii="標楷體" w:eastAsia="標楷體" w:hAnsi="標楷體"/>
          <w:sz w:val="28"/>
          <w:szCs w:val="28"/>
        </w:rPr>
      </w:pPr>
    </w:p>
    <w:p w:rsidR="001C2693" w:rsidRDefault="001C2693" w:rsidP="00AF0B08">
      <w:pPr>
        <w:spacing w:line="480" w:lineRule="exact"/>
        <w:rPr>
          <w:rFonts w:ascii="標楷體" w:eastAsia="標楷體" w:hAnsi="標楷體"/>
          <w:sz w:val="28"/>
          <w:szCs w:val="28"/>
        </w:rPr>
      </w:pPr>
    </w:p>
    <w:p w:rsidR="001C2693" w:rsidRDefault="001C2693" w:rsidP="00AF0B08">
      <w:pPr>
        <w:spacing w:line="480" w:lineRule="exact"/>
        <w:rPr>
          <w:rFonts w:ascii="標楷體" w:eastAsia="標楷體" w:hAnsi="標楷體"/>
          <w:sz w:val="28"/>
          <w:szCs w:val="28"/>
        </w:rPr>
      </w:pPr>
    </w:p>
    <w:p w:rsidR="001C2693" w:rsidRDefault="001C2693" w:rsidP="00AF0B08">
      <w:pPr>
        <w:spacing w:line="480" w:lineRule="exact"/>
        <w:rPr>
          <w:rFonts w:ascii="標楷體" w:eastAsia="標楷體" w:hAnsi="標楷體"/>
          <w:sz w:val="28"/>
          <w:szCs w:val="28"/>
        </w:rPr>
      </w:pPr>
    </w:p>
    <w:p w:rsidR="001C2693" w:rsidRDefault="001C2693" w:rsidP="00AF0B08">
      <w:pPr>
        <w:spacing w:line="480" w:lineRule="exact"/>
        <w:rPr>
          <w:rFonts w:ascii="標楷體" w:eastAsia="標楷體" w:hAnsi="標楷體"/>
          <w:sz w:val="28"/>
          <w:szCs w:val="28"/>
        </w:rPr>
      </w:pPr>
    </w:p>
    <w:p w:rsidR="001C2693" w:rsidRDefault="001C2693" w:rsidP="00AF0B08">
      <w:pPr>
        <w:spacing w:line="480" w:lineRule="exact"/>
        <w:rPr>
          <w:rFonts w:ascii="標楷體" w:eastAsia="標楷體" w:hAnsi="標楷體"/>
          <w:sz w:val="28"/>
          <w:szCs w:val="28"/>
        </w:rPr>
      </w:pPr>
    </w:p>
    <w:p w:rsidR="00244F8D" w:rsidRDefault="00FF5C3A" w:rsidP="00AF0B08">
      <w:pPr>
        <w:spacing w:line="480" w:lineRule="exact"/>
        <w:rPr>
          <w:rFonts w:ascii="標楷體" w:eastAsia="標楷體" w:hAnsi="標楷體"/>
          <w:b/>
          <w:sz w:val="28"/>
          <w:szCs w:val="28"/>
        </w:rPr>
      </w:pPr>
      <w:r>
        <w:rPr>
          <w:rFonts w:ascii="標楷體" w:eastAsia="標楷體" w:hAnsi="標楷體" w:hint="eastAsia"/>
          <w:sz w:val="28"/>
          <w:szCs w:val="28"/>
        </w:rPr>
        <w:lastRenderedPageBreak/>
        <w:t xml:space="preserve">國外市場分析報告 </w:t>
      </w:r>
      <w:r w:rsidR="00244F8D">
        <w:rPr>
          <w:rFonts w:ascii="標楷體" w:eastAsia="標楷體" w:hAnsi="標楷體" w:hint="eastAsia"/>
          <w:b/>
          <w:sz w:val="28"/>
          <w:szCs w:val="28"/>
        </w:rPr>
        <w:t>規格:</w:t>
      </w:r>
    </w:p>
    <w:p w:rsidR="002E4F8C" w:rsidRDefault="002E4F8C" w:rsidP="0044636D">
      <w:pPr>
        <w:spacing w:line="360" w:lineRule="exact"/>
        <w:jc w:val="both"/>
        <w:rPr>
          <w:rFonts w:ascii="標楷體" w:eastAsia="標楷體" w:hAnsi="標楷體"/>
          <w:sz w:val="28"/>
          <w:szCs w:val="28"/>
        </w:rPr>
      </w:pPr>
    </w:p>
    <w:tbl>
      <w:tblPr>
        <w:tblStyle w:val="affb"/>
        <w:tblW w:w="9270" w:type="dxa"/>
        <w:jc w:val="center"/>
        <w:tblInd w:w="-3088" w:type="dxa"/>
        <w:tblLayout w:type="fixed"/>
        <w:tblLook w:val="04A0" w:firstRow="1" w:lastRow="0" w:firstColumn="1" w:lastColumn="0" w:noHBand="0" w:noVBand="1"/>
      </w:tblPr>
      <w:tblGrid>
        <w:gridCol w:w="836"/>
        <w:gridCol w:w="7414"/>
        <w:gridCol w:w="1020"/>
      </w:tblGrid>
      <w:tr w:rsidR="0033237D" w:rsidRPr="003C5747" w:rsidTr="0033237D">
        <w:trPr>
          <w:trHeight w:val="331"/>
          <w:jc w:val="center"/>
        </w:trPr>
        <w:tc>
          <w:tcPr>
            <w:tcW w:w="836" w:type="dxa"/>
            <w:vAlign w:val="center"/>
          </w:tcPr>
          <w:p w:rsidR="0033237D" w:rsidRPr="00BB055F" w:rsidRDefault="0033237D" w:rsidP="0033237D">
            <w:pPr>
              <w:snapToGrid w:val="0"/>
              <w:jc w:val="center"/>
              <w:rPr>
                <w:rFonts w:ascii="標楷體" w:eastAsia="標楷體" w:hAnsi="標楷體"/>
              </w:rPr>
            </w:pPr>
            <w:r w:rsidRPr="00BB055F">
              <w:rPr>
                <w:rFonts w:ascii="標楷體" w:eastAsia="標楷體" w:hAnsi="標楷體" w:hint="eastAsia"/>
              </w:rPr>
              <w:t>項次</w:t>
            </w:r>
          </w:p>
        </w:tc>
        <w:tc>
          <w:tcPr>
            <w:tcW w:w="7414" w:type="dxa"/>
            <w:vAlign w:val="center"/>
          </w:tcPr>
          <w:p w:rsidR="0033237D" w:rsidRPr="00BB055F" w:rsidRDefault="0033237D" w:rsidP="0033237D">
            <w:pPr>
              <w:snapToGrid w:val="0"/>
              <w:jc w:val="distribute"/>
              <w:rPr>
                <w:rFonts w:ascii="標楷體" w:eastAsia="標楷體" w:hAnsi="標楷體"/>
              </w:rPr>
            </w:pPr>
            <w:r w:rsidRPr="00BB055F">
              <w:rPr>
                <w:rFonts w:ascii="標楷體" w:eastAsia="標楷體" w:hAnsi="標楷體" w:hint="eastAsia"/>
              </w:rPr>
              <w:t>名稱</w:t>
            </w:r>
          </w:p>
        </w:tc>
        <w:tc>
          <w:tcPr>
            <w:tcW w:w="1020" w:type="dxa"/>
            <w:vAlign w:val="center"/>
          </w:tcPr>
          <w:p w:rsidR="0033237D" w:rsidRPr="00BB055F" w:rsidRDefault="0033237D" w:rsidP="0033237D">
            <w:pPr>
              <w:snapToGrid w:val="0"/>
              <w:jc w:val="center"/>
              <w:rPr>
                <w:rFonts w:ascii="標楷體" w:eastAsia="標楷體" w:hAnsi="標楷體"/>
              </w:rPr>
            </w:pPr>
            <w:r w:rsidRPr="00BB055F">
              <w:rPr>
                <w:rFonts w:ascii="標楷體" w:eastAsia="標楷體" w:hAnsi="標楷體" w:hint="eastAsia"/>
              </w:rPr>
              <w:t>數量</w:t>
            </w:r>
          </w:p>
        </w:tc>
      </w:tr>
      <w:tr w:rsidR="0033237D" w:rsidRPr="003C5747" w:rsidTr="0033237D">
        <w:trPr>
          <w:trHeight w:val="331"/>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1</w:t>
            </w:r>
          </w:p>
        </w:tc>
        <w:tc>
          <w:tcPr>
            <w:tcW w:w="7414" w:type="dxa"/>
          </w:tcPr>
          <w:p w:rsidR="0033237D" w:rsidRPr="0033237D" w:rsidRDefault="0033237D" w:rsidP="0033237D">
            <w:pPr>
              <w:spacing w:beforeLines="50" w:before="180" w:afterLines="50" w:after="180" w:line="300" w:lineRule="exact"/>
              <w:rPr>
                <w:rFonts w:ascii="標楷體" w:eastAsia="標楷體"/>
              </w:rPr>
            </w:pPr>
            <w:r w:rsidRPr="0033237D">
              <w:rPr>
                <w:rFonts w:ascii="標楷體" w:eastAsia="標楷體" w:hint="eastAsia"/>
              </w:rPr>
              <w:t>殘留物測試依不同類型之市場報告</w:t>
            </w:r>
            <w:r w:rsidRPr="0033237D">
              <w:rPr>
                <w:rFonts w:ascii="標楷體" w:eastAsia="標楷體"/>
              </w:rPr>
              <w:t xml:space="preserve">Residue Testing Market by Type (Pesticides, Toxins, Heavy Metals, Allergens), Technology Chromatography, Spectroscopy,Immunoassay), Food Tested (Meat &amp; Poultry, Dairy Products, Processed Food, Fruits &amp; Vegetables, Cereals) </w:t>
            </w:r>
            <w:r w:rsidRPr="0033237D">
              <w:rPr>
                <w:rFonts w:ascii="標楷體" w:eastAsia="標楷體"/>
              </w:rPr>
              <w:t>–</w:t>
            </w:r>
            <w:r w:rsidRPr="0033237D">
              <w:rPr>
                <w:rFonts w:ascii="標楷體" w:eastAsia="標楷體"/>
              </w:rPr>
              <w:t xml:space="preserve"> Global Forecast to 2021</w:t>
            </w: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1020" w:type="dxa"/>
            <w:vAlign w:val="center"/>
          </w:tcPr>
          <w:p w:rsidR="0033237D" w:rsidRPr="00BB055F" w:rsidRDefault="0033237D" w:rsidP="0033237D">
            <w:pPr>
              <w:snapToGrid w:val="0"/>
              <w:jc w:val="center"/>
              <w:rPr>
                <w:rFonts w:ascii="標楷體" w:eastAsia="標楷體" w:hAnsi="標楷體"/>
              </w:rPr>
            </w:pPr>
            <w:r>
              <w:rPr>
                <w:rFonts w:ascii="標楷體" w:eastAsia="標楷體" w:hAnsi="標楷體" w:hint="eastAsia"/>
              </w:rPr>
              <w:t>1本</w:t>
            </w:r>
          </w:p>
        </w:tc>
      </w:tr>
      <w:tr w:rsidR="0033237D" w:rsidRPr="003C5747" w:rsidTr="0033237D">
        <w:trPr>
          <w:trHeight w:val="642"/>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2</w:t>
            </w:r>
          </w:p>
        </w:tc>
        <w:tc>
          <w:tcPr>
            <w:tcW w:w="7414" w:type="dxa"/>
          </w:tcPr>
          <w:p w:rsidR="0033237D" w:rsidRPr="0033237D" w:rsidRDefault="0033237D" w:rsidP="0033237D">
            <w:pPr>
              <w:spacing w:line="240" w:lineRule="exact"/>
              <w:rPr>
                <w:rFonts w:ascii="標楷體" w:eastAsia="標楷體"/>
              </w:rPr>
            </w:pPr>
            <w:r w:rsidRPr="0033237D">
              <w:rPr>
                <w:rFonts w:ascii="標楷體" w:eastAsia="標楷體" w:hint="eastAsia"/>
              </w:rPr>
              <w:t>健康和保健食品 (保健食品)的全球市場:2017年～2021年</w:t>
            </w:r>
          </w:p>
          <w:p w:rsidR="0033237D" w:rsidRPr="0033237D" w:rsidRDefault="0033237D" w:rsidP="0033237D">
            <w:pPr>
              <w:spacing w:line="240" w:lineRule="exact"/>
              <w:rPr>
                <w:rFonts w:ascii="標楷體" w:eastAsia="標楷體"/>
              </w:rPr>
            </w:pPr>
            <w:r w:rsidRPr="0033237D">
              <w:rPr>
                <w:rFonts w:ascii="標楷體" w:eastAsia="標楷體"/>
              </w:rPr>
              <w:t>Global Health and Wellness Food Market 2017-2021</w:t>
            </w:r>
            <w:r w:rsidRPr="0033237D">
              <w:rPr>
                <w:rFonts w:ascii="標楷體" w:eastAsia="標楷體" w:hint="eastAsia"/>
              </w:rPr>
              <w:t>(TechNavio)</w:t>
            </w:r>
          </w:p>
        </w:tc>
        <w:tc>
          <w:tcPr>
            <w:tcW w:w="1020"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r>
      <w:tr w:rsidR="0033237D" w:rsidRPr="003C5747" w:rsidTr="0033237D">
        <w:trPr>
          <w:trHeight w:val="789"/>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3</w:t>
            </w:r>
          </w:p>
        </w:tc>
        <w:tc>
          <w:tcPr>
            <w:tcW w:w="7414" w:type="dxa"/>
          </w:tcPr>
          <w:p w:rsidR="0033237D" w:rsidRPr="0033237D" w:rsidRDefault="0033237D" w:rsidP="0033237D">
            <w:pPr>
              <w:spacing w:line="240" w:lineRule="exact"/>
              <w:rPr>
                <w:rFonts w:ascii="標楷體" w:eastAsia="標楷體"/>
              </w:rPr>
            </w:pPr>
            <w:r w:rsidRPr="0033237D">
              <w:rPr>
                <w:rFonts w:ascii="標楷體" w:eastAsia="標楷體" w:hint="eastAsia"/>
              </w:rPr>
              <w:t>全球中藥草藥補充品市場分析與趨勢:產業預測</w:t>
            </w:r>
          </w:p>
          <w:p w:rsidR="0033237D" w:rsidRPr="0033237D" w:rsidRDefault="0033237D" w:rsidP="0033237D">
            <w:pPr>
              <w:spacing w:line="240" w:lineRule="exact"/>
              <w:rPr>
                <w:rFonts w:ascii="標楷體" w:eastAsia="標楷體"/>
              </w:rPr>
            </w:pPr>
            <w:r w:rsidRPr="0033237D">
              <w:rPr>
                <w:rFonts w:ascii="標楷體" w:eastAsia="標楷體"/>
              </w:rPr>
              <w:t>Global Herbal Supplements Market Analysis &amp; Trends - Industry Forecast to 2025</w:t>
            </w:r>
            <w:r w:rsidRPr="0033237D">
              <w:rPr>
                <w:rFonts w:ascii="標楷體" w:eastAsia="標楷體" w:hint="eastAsia"/>
              </w:rPr>
              <w:t>(Accuray Research)</w:t>
            </w:r>
          </w:p>
        </w:tc>
        <w:tc>
          <w:tcPr>
            <w:tcW w:w="1020"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r>
      <w:tr w:rsidR="0033237D" w:rsidRPr="003C5747" w:rsidTr="0033237D">
        <w:trPr>
          <w:trHeight w:val="792"/>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4</w:t>
            </w:r>
          </w:p>
        </w:tc>
        <w:tc>
          <w:tcPr>
            <w:tcW w:w="7414" w:type="dxa"/>
          </w:tcPr>
          <w:p w:rsidR="0033237D" w:rsidRPr="0033237D" w:rsidRDefault="0033237D" w:rsidP="0033237D">
            <w:pPr>
              <w:spacing w:line="240" w:lineRule="exact"/>
              <w:rPr>
                <w:rFonts w:ascii="標楷體" w:eastAsia="標楷體"/>
              </w:rPr>
            </w:pPr>
            <w:r w:rsidRPr="0033237D">
              <w:rPr>
                <w:rFonts w:ascii="標楷體" w:eastAsia="標楷體" w:hint="eastAsia"/>
              </w:rPr>
              <w:t>β聚葡萄糖的全球市場預測 2022年:穀類、海藻、酵母、蘑菇類</w:t>
            </w:r>
          </w:p>
          <w:p w:rsidR="0033237D" w:rsidRPr="0033237D" w:rsidRDefault="0033237D" w:rsidP="0033237D">
            <w:pPr>
              <w:spacing w:line="240" w:lineRule="exact"/>
              <w:rPr>
                <w:rFonts w:ascii="標楷體" w:eastAsia="標楷體"/>
              </w:rPr>
            </w:pPr>
            <w:r w:rsidRPr="0033237D">
              <w:rPr>
                <w:rFonts w:ascii="標楷體" w:eastAsia="標楷體"/>
              </w:rPr>
              <w:t>Beta-Glucan Market by Source (Cereal, Mushroom, Yeast, Seaweed), Application (Food &amp; Beverages, Personal Care, Pharmaceuticals, Animal Feed), Category (Soluble, Insoluble), and Region - Global Forecast to 2022</w:t>
            </w:r>
          </w:p>
          <w:p w:rsidR="0033237D" w:rsidRPr="0033237D" w:rsidRDefault="0033237D" w:rsidP="0033237D">
            <w:pPr>
              <w:spacing w:line="240" w:lineRule="exact"/>
              <w:rPr>
                <w:rFonts w:ascii="標楷體" w:eastAsia="標楷體"/>
              </w:rPr>
            </w:pP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1020"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r>
      <w:tr w:rsidR="0033237D" w:rsidRPr="003C5747" w:rsidTr="0033237D">
        <w:trPr>
          <w:trHeight w:val="792"/>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5</w:t>
            </w:r>
          </w:p>
        </w:tc>
        <w:tc>
          <w:tcPr>
            <w:tcW w:w="7414" w:type="dxa"/>
          </w:tcPr>
          <w:p w:rsidR="0033237D" w:rsidRPr="0033237D" w:rsidRDefault="0033237D" w:rsidP="0033237D">
            <w:pPr>
              <w:spacing w:line="240" w:lineRule="exact"/>
              <w:rPr>
                <w:rFonts w:ascii="標楷體" w:eastAsia="標楷體"/>
              </w:rPr>
            </w:pPr>
            <w:r w:rsidRPr="0033237D">
              <w:rPr>
                <w:rFonts w:ascii="標楷體" w:eastAsia="標楷體" w:hint="eastAsia"/>
              </w:rPr>
              <w:t>全球藻類Omega 3成分市場 - 增長，趨勢和預測（2017-2022）</w:t>
            </w:r>
          </w:p>
          <w:p w:rsidR="0033237D" w:rsidRPr="0033237D" w:rsidRDefault="0033237D" w:rsidP="0033237D">
            <w:pPr>
              <w:spacing w:line="240" w:lineRule="exact"/>
              <w:rPr>
                <w:rFonts w:ascii="標楷體" w:eastAsia="標楷體"/>
              </w:rPr>
            </w:pPr>
            <w:r w:rsidRPr="0033237D">
              <w:rPr>
                <w:rFonts w:ascii="標楷體" w:eastAsia="標楷體"/>
              </w:rPr>
              <w:t>Global Algae Omega 3 Ingredient Market - Growth,Trends and Forecasts (2017 -2022)</w:t>
            </w:r>
            <w:r w:rsidRPr="0033237D">
              <w:rPr>
                <w:rFonts w:ascii="標楷體" w:eastAsia="標楷體" w:hint="eastAsia"/>
              </w:rPr>
              <w:t>( Mordor Intelligence LLP)</w:t>
            </w:r>
          </w:p>
        </w:tc>
        <w:tc>
          <w:tcPr>
            <w:tcW w:w="1020"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r>
      <w:tr w:rsidR="0033237D" w:rsidRPr="003C5747" w:rsidTr="0033237D">
        <w:trPr>
          <w:trHeight w:val="792"/>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6</w:t>
            </w:r>
          </w:p>
        </w:tc>
        <w:tc>
          <w:tcPr>
            <w:tcW w:w="7414" w:type="dxa"/>
          </w:tcPr>
          <w:p w:rsidR="0033237D" w:rsidRPr="0033237D" w:rsidRDefault="0033237D" w:rsidP="0033237D">
            <w:pPr>
              <w:spacing w:line="240" w:lineRule="exact"/>
              <w:rPr>
                <w:rFonts w:ascii="標楷體" w:eastAsia="標楷體"/>
              </w:rPr>
            </w:pPr>
            <w:r w:rsidRPr="0033237D">
              <w:rPr>
                <w:rFonts w:ascii="標楷體" w:eastAsia="標楷體" w:hint="eastAsia"/>
              </w:rPr>
              <w:t>生醫材料的全球市場:分析與預測</w:t>
            </w:r>
          </w:p>
          <w:p w:rsidR="0033237D" w:rsidRPr="0033237D" w:rsidRDefault="0033237D" w:rsidP="0033237D">
            <w:pPr>
              <w:spacing w:line="240" w:lineRule="exact"/>
              <w:rPr>
                <w:rFonts w:ascii="標楷體" w:eastAsia="標楷體"/>
              </w:rPr>
            </w:pPr>
            <w:r w:rsidRPr="0033237D">
              <w:rPr>
                <w:rFonts w:ascii="標楷體" w:eastAsia="標楷體"/>
              </w:rPr>
              <w:t>Global Biomaterials Market - Analysis and Forecast 2017-2021: Focus on Type (Polymer, Metal, Ceramic, Natural, Regenerative), Application and Region</w:t>
            </w:r>
            <w:r w:rsidRPr="0033237D">
              <w:rPr>
                <w:rFonts w:ascii="標楷體" w:eastAsia="標楷體" w:hint="eastAsia"/>
              </w:rPr>
              <w:t>(BIS Research)</w:t>
            </w:r>
          </w:p>
        </w:tc>
        <w:tc>
          <w:tcPr>
            <w:tcW w:w="1020"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r>
      <w:tr w:rsidR="0033237D" w:rsidRPr="003C5747" w:rsidTr="0033237D">
        <w:trPr>
          <w:trHeight w:val="792"/>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7</w:t>
            </w:r>
          </w:p>
        </w:tc>
        <w:tc>
          <w:tcPr>
            <w:tcW w:w="7414" w:type="dxa"/>
          </w:tcPr>
          <w:p w:rsidR="0033237D" w:rsidRPr="0033237D" w:rsidRDefault="0033237D" w:rsidP="0033237D">
            <w:pPr>
              <w:spacing w:line="240" w:lineRule="exact"/>
              <w:rPr>
                <w:rFonts w:ascii="標楷體" w:eastAsia="標楷體"/>
              </w:rPr>
            </w:pPr>
            <w:r w:rsidRPr="0033237D">
              <w:rPr>
                <w:rFonts w:ascii="標楷體" w:eastAsia="標楷體" w:hint="eastAsia"/>
              </w:rPr>
              <w:t>智慧農業的全球市場預測 2022年為止的預測:精密農業、家畜監測、人工養魚、智慧溫室栽培</w:t>
            </w:r>
          </w:p>
          <w:p w:rsidR="0033237D" w:rsidRPr="0033237D" w:rsidRDefault="0033237D" w:rsidP="0033237D">
            <w:pPr>
              <w:spacing w:line="240" w:lineRule="exact"/>
              <w:rPr>
                <w:rFonts w:ascii="標楷體" w:eastAsia="標楷體"/>
              </w:rPr>
            </w:pPr>
            <w:r w:rsidRPr="0033237D">
              <w:rPr>
                <w:rFonts w:ascii="標楷體" w:eastAsia="標楷體"/>
              </w:rPr>
              <w:t>Smart Agriculture Market by Agriculture Type (Precision Farming, Livestock Monitoring, Fish Farming, Smart Greenhouse), Hardware (GPS, Drones, Sensors, RFID, LED Grow Lights), Software, Services, Application, and Geography - Global Forecast to 2022</w:t>
            </w:r>
          </w:p>
          <w:p w:rsidR="0033237D" w:rsidRPr="0033237D" w:rsidRDefault="0033237D" w:rsidP="0033237D">
            <w:pPr>
              <w:spacing w:line="240" w:lineRule="exact"/>
              <w:rPr>
                <w:rFonts w:ascii="標楷體" w:eastAsia="標楷體"/>
              </w:rPr>
            </w:pP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1020"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r>
      <w:tr w:rsidR="0033237D" w:rsidRPr="003C5747" w:rsidTr="0033237D">
        <w:trPr>
          <w:trHeight w:val="792"/>
          <w:jc w:val="center"/>
        </w:trPr>
        <w:tc>
          <w:tcPr>
            <w:tcW w:w="836"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8</w:t>
            </w:r>
          </w:p>
        </w:tc>
        <w:tc>
          <w:tcPr>
            <w:tcW w:w="7414" w:type="dxa"/>
          </w:tcPr>
          <w:p w:rsidR="0033237D" w:rsidRPr="0033237D" w:rsidRDefault="0033237D" w:rsidP="0033237D">
            <w:pPr>
              <w:spacing w:line="240" w:lineRule="exact"/>
              <w:rPr>
                <w:rFonts w:ascii="標楷體" w:eastAsia="標楷體"/>
              </w:rPr>
            </w:pPr>
            <w:r w:rsidRPr="0033237D">
              <w:rPr>
                <w:rFonts w:ascii="標楷體" w:eastAsia="標楷體" w:hint="eastAsia"/>
              </w:rPr>
              <w:t>健康功能成分的全球市場 ～2022年:維生素和礦物質、益生元、脂質、功能性糖類、植物&amp;水果萃取物、酵素、益生菌發酵劑培養物、蛋白質</w:t>
            </w:r>
          </w:p>
          <w:p w:rsidR="0033237D" w:rsidRPr="0033237D" w:rsidRDefault="0033237D" w:rsidP="0033237D">
            <w:pPr>
              <w:spacing w:line="240" w:lineRule="exact"/>
              <w:rPr>
                <w:rFonts w:ascii="標楷體" w:eastAsia="標楷體"/>
              </w:rPr>
            </w:pPr>
            <w:r w:rsidRPr="0033237D">
              <w:rPr>
                <w:rFonts w:ascii="標楷體" w:eastAsia="標楷體"/>
              </w:rPr>
              <w:t>Health Ingredients Market by Type (Vitamins, Minerals, Prebiotics, Nutritional Lipids, Functional Carbohydrates ,Plant and fruit extracts, Enzymes, Probiotic Starter Cultures, Proteins), Application , Source ,and Region - Global forecast to 2022</w:t>
            </w:r>
          </w:p>
          <w:p w:rsidR="0033237D" w:rsidRPr="0033237D" w:rsidRDefault="0033237D" w:rsidP="0033237D">
            <w:pPr>
              <w:spacing w:line="240" w:lineRule="exact"/>
              <w:rPr>
                <w:rFonts w:ascii="標楷體" w:eastAsia="標楷體"/>
              </w:rPr>
            </w:pP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1020"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r>
    </w:tbl>
    <w:p w:rsidR="00AE25A4" w:rsidRDefault="00AE25A4" w:rsidP="0044636D">
      <w:pPr>
        <w:spacing w:line="360" w:lineRule="exact"/>
        <w:jc w:val="both"/>
        <w:rPr>
          <w:rFonts w:ascii="標楷體" w:eastAsia="標楷體" w:hAnsi="標楷體"/>
          <w:sz w:val="28"/>
          <w:szCs w:val="28"/>
        </w:rPr>
      </w:pPr>
    </w:p>
    <w:p w:rsidR="00FF5C3A" w:rsidRDefault="00FF5C3A" w:rsidP="0044636D">
      <w:pPr>
        <w:spacing w:line="360" w:lineRule="exact"/>
        <w:jc w:val="both"/>
        <w:rPr>
          <w:rFonts w:ascii="標楷體" w:eastAsia="標楷體" w:hAnsi="標楷體"/>
          <w:sz w:val="28"/>
          <w:szCs w:val="28"/>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投標廠商：　　　　　　　　                   　     　　    　　印</w:t>
      </w:r>
    </w:p>
    <w:p w:rsidR="00604923" w:rsidRPr="00884C3A" w:rsidRDefault="00604923" w:rsidP="00604923">
      <w:pPr>
        <w:spacing w:line="400" w:lineRule="exact"/>
        <w:jc w:val="both"/>
        <w:rPr>
          <w:rFonts w:ascii="標楷體" w:eastAsia="標楷體" w:hAnsi="標楷體"/>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負 責 人：　  　　　　　　　 　                           　　　印</w:t>
      </w:r>
    </w:p>
    <w:p w:rsidR="006B5AE4" w:rsidRDefault="006B5AE4" w:rsidP="00244F8D">
      <w:pPr>
        <w:widowControl/>
        <w:spacing w:before="100" w:beforeAutospacing="1" w:after="100" w:afterAutospacing="1" w:line="320" w:lineRule="exact"/>
        <w:rPr>
          <w:rFonts w:ascii="標楷體" w:eastAsia="標楷體" w:hAnsi="標楷體"/>
          <w:b/>
          <w:sz w:val="28"/>
          <w:szCs w:val="28"/>
        </w:rPr>
      </w:pPr>
    </w:p>
    <w:p w:rsidR="009D020D" w:rsidRDefault="009D020D"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08128A" w:rsidRPr="00FC64C1" w:rsidRDefault="00EF651F"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33237D">
        <w:rPr>
          <w:rFonts w:ascii="標楷體" w:eastAsia="標楷體" w:hAnsi="標楷體" w:hint="eastAsia"/>
          <w:color w:val="FF0000"/>
          <w:sz w:val="32"/>
          <w:szCs w:val="32"/>
        </w:rPr>
        <w:t>1,288</w:t>
      </w:r>
      <w:r w:rsidR="00F032C6" w:rsidRPr="00FC64C1">
        <w:rPr>
          <w:rFonts w:ascii="標楷體" w:eastAsia="標楷體" w:hAnsi="標楷體" w:hint="eastAsia"/>
          <w:color w:val="FF0000"/>
          <w:sz w:val="32"/>
          <w:szCs w:val="32"/>
        </w:rPr>
        <w:t>,</w:t>
      </w:r>
      <w:r w:rsidR="0033237D">
        <w:rPr>
          <w:rFonts w:ascii="標楷體" w:eastAsia="標楷體" w:hAnsi="標楷體" w:hint="eastAsia"/>
          <w:color w:val="FF0000"/>
          <w:sz w:val="32"/>
          <w:szCs w:val="32"/>
        </w:rPr>
        <w:t>974</w:t>
      </w:r>
      <w:r w:rsidRPr="00FC64C1">
        <w:rPr>
          <w:rFonts w:ascii="標楷體" w:eastAsia="標楷體" w:hAnsi="標楷體" w:hint="eastAsia"/>
          <w:sz w:val="32"/>
          <w:szCs w:val="32"/>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604923" w:rsidRPr="00AF0B08" w:rsidRDefault="002F6A08" w:rsidP="00604923">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w:t>
      </w:r>
      <w:r w:rsidR="0008128A" w:rsidRPr="003E1491">
        <w:rPr>
          <w:rFonts w:ascii="標楷體" w:eastAsia="標楷體" w:hAnsi="標楷體" w:hint="eastAsia"/>
          <w:b/>
          <w:sz w:val="32"/>
          <w:szCs w:val="32"/>
        </w:rPr>
        <w:t>標</w:t>
      </w:r>
      <w:r w:rsidR="00B758C4" w:rsidRPr="003E1491">
        <w:rPr>
          <w:rFonts w:ascii="標楷體" w:eastAsia="標楷體" w:hAnsi="標楷體" w:hint="eastAsia"/>
          <w:b/>
          <w:sz w:val="32"/>
          <w:szCs w:val="32"/>
        </w:rPr>
        <w:t>案</w:t>
      </w:r>
      <w:r w:rsidR="0008128A" w:rsidRPr="003E1491">
        <w:rPr>
          <w:rFonts w:ascii="標楷體" w:eastAsia="標楷體" w:hAnsi="標楷體" w:hint="eastAsia"/>
          <w:b/>
          <w:sz w:val="32"/>
          <w:szCs w:val="32"/>
        </w:rPr>
        <w:t>名稱：</w:t>
      </w:r>
      <w:r w:rsidR="00FF5C3A">
        <w:rPr>
          <w:rFonts w:ascii="標楷體" w:eastAsia="標楷體" w:hAnsi="標楷體" w:hint="eastAsia"/>
          <w:b/>
          <w:sz w:val="32"/>
          <w:szCs w:val="32"/>
        </w:rPr>
        <w:t xml:space="preserve">國外市場分析報告 </w:t>
      </w:r>
      <w:r w:rsidR="00D627E5">
        <w:rPr>
          <w:rFonts w:ascii="標楷體" w:eastAsia="標楷體" w:hAnsi="標楷體" w:hint="eastAsia"/>
          <w:b/>
          <w:sz w:val="32"/>
          <w:szCs w:val="32"/>
        </w:rPr>
        <w:t xml:space="preserve"> </w:t>
      </w:r>
    </w:p>
    <w:p w:rsidR="00855E98" w:rsidRPr="00604923" w:rsidRDefault="00855E98" w:rsidP="00F831F7">
      <w:pPr>
        <w:spacing w:line="400" w:lineRule="exact"/>
        <w:rPr>
          <w:rFonts w:ascii="標楷體" w:eastAsia="標楷體" w:hAnsi="標楷體"/>
          <w:b/>
          <w:sz w:val="28"/>
          <w:szCs w:val="28"/>
        </w:rPr>
      </w:pPr>
    </w:p>
    <w:p w:rsidR="0008128A" w:rsidRPr="002F6A08" w:rsidRDefault="002F6A08" w:rsidP="002F6A0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08128A" w:rsidRPr="002F6A08">
        <w:rPr>
          <w:rFonts w:ascii="標楷體" w:eastAsia="標楷體" w:hAnsi="標楷體" w:hint="eastAsia"/>
          <w:sz w:val="32"/>
          <w:szCs w:val="32"/>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620E01"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D8712C" w:rsidRDefault="00D8712C" w:rsidP="0021757D">
      <w:pPr>
        <w:spacing w:line="440" w:lineRule="exact"/>
        <w:ind w:rightChars="153" w:right="367"/>
        <w:textDirection w:val="lrTbV"/>
        <w:rPr>
          <w:rFonts w:ascii="標楷體" w:eastAsia="標楷體"/>
          <w:bCs/>
        </w:rPr>
      </w:pPr>
    </w:p>
    <w:p w:rsidR="00911A22" w:rsidRPr="00FC64C1" w:rsidRDefault="00911A22" w:rsidP="00911A22">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 xml:space="preserve"> </w:t>
      </w:r>
    </w:p>
    <w:p w:rsidR="00FD2296" w:rsidRDefault="00FD2296" w:rsidP="00911A22">
      <w:pPr>
        <w:spacing w:line="440" w:lineRule="exact"/>
        <w:ind w:rightChars="153" w:right="367"/>
        <w:jc w:val="center"/>
        <w:textDirection w:val="lrTbV"/>
        <w:rPr>
          <w:rFonts w:ascii="標楷體" w:eastAsia="標楷體"/>
          <w:b/>
          <w:u w:val="single"/>
        </w:rPr>
      </w:pPr>
    </w:p>
    <w:p w:rsidR="00D8712C" w:rsidRPr="006F7D96" w:rsidRDefault="00D8712C" w:rsidP="00911A22">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D8712C" w:rsidRPr="006F7D96" w:rsidRDefault="00D8712C" w:rsidP="00D8712C">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33237D">
        <w:rPr>
          <w:rFonts w:ascii="標楷體" w:eastAsia="標楷體" w:hint="eastAsia"/>
          <w:bCs/>
          <w:u w:val="single"/>
        </w:rPr>
        <w:t>10610235</w:t>
      </w:r>
      <w:r w:rsidRPr="006F7D96">
        <w:rPr>
          <w:rFonts w:ascii="標楷體" w:eastAsia="標楷體" w:hint="eastAsia"/>
          <w:bCs/>
          <w:u w:val="single"/>
        </w:rPr>
        <w:t xml:space="preserve"> </w:t>
      </w:r>
    </w:p>
    <w:p w:rsidR="00D8712C" w:rsidRPr="006F7D96" w:rsidRDefault="00D8712C" w:rsidP="00D8712C">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D8712C" w:rsidRPr="006F7D96" w:rsidRDefault="00D8712C" w:rsidP="00D8712C">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913"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1"/>
        <w:gridCol w:w="4003"/>
        <w:gridCol w:w="992"/>
        <w:gridCol w:w="1418"/>
        <w:gridCol w:w="1458"/>
        <w:gridCol w:w="1201"/>
      </w:tblGrid>
      <w:tr w:rsidR="0033237D" w:rsidRPr="006F7D96" w:rsidTr="0033237D">
        <w:trPr>
          <w:trHeight w:val="471"/>
          <w:jc w:val="center"/>
        </w:trPr>
        <w:tc>
          <w:tcPr>
            <w:tcW w:w="841" w:type="dxa"/>
            <w:vAlign w:val="center"/>
          </w:tcPr>
          <w:p w:rsidR="0033237D" w:rsidRPr="006F7D96" w:rsidRDefault="0033237D" w:rsidP="00087DDC">
            <w:pPr>
              <w:spacing w:line="240" w:lineRule="atLeast"/>
              <w:ind w:rightChars="153" w:right="367"/>
              <w:jc w:val="center"/>
              <w:textDirection w:val="lrTbV"/>
              <w:rPr>
                <w:rFonts w:ascii="標楷體" w:eastAsia="標楷體"/>
              </w:rPr>
            </w:pPr>
            <w:r w:rsidRPr="006F7D96">
              <w:rPr>
                <w:rFonts w:ascii="標楷體" w:eastAsia="標楷體" w:hint="eastAsia"/>
              </w:rPr>
              <w:t>項目</w:t>
            </w:r>
          </w:p>
        </w:tc>
        <w:tc>
          <w:tcPr>
            <w:tcW w:w="4003" w:type="dxa"/>
            <w:tcBorders>
              <w:right w:val="single" w:sz="4" w:space="0" w:color="auto"/>
            </w:tcBorders>
            <w:vAlign w:val="center"/>
          </w:tcPr>
          <w:p w:rsidR="0033237D" w:rsidRPr="006F7D96" w:rsidRDefault="0033237D" w:rsidP="00087DDC">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2" w:type="dxa"/>
            <w:vAlign w:val="center"/>
          </w:tcPr>
          <w:p w:rsidR="0033237D" w:rsidRPr="006F7D96" w:rsidRDefault="0033237D" w:rsidP="00087DDC">
            <w:pPr>
              <w:jc w:val="center"/>
              <w:textDirection w:val="lrTbV"/>
              <w:rPr>
                <w:rFonts w:ascii="標楷體" w:eastAsia="標楷體"/>
              </w:rPr>
            </w:pPr>
            <w:r w:rsidRPr="006049D3">
              <w:rPr>
                <w:rFonts w:ascii="標楷體" w:eastAsia="標楷體" w:hAnsi="標楷體" w:hint="eastAsia"/>
              </w:rPr>
              <w:t>數量</w:t>
            </w:r>
          </w:p>
        </w:tc>
        <w:tc>
          <w:tcPr>
            <w:tcW w:w="1418" w:type="dxa"/>
          </w:tcPr>
          <w:p w:rsidR="0033237D" w:rsidRDefault="0033237D" w:rsidP="00087DDC">
            <w:pPr>
              <w:spacing w:line="240" w:lineRule="atLeast"/>
              <w:ind w:rightChars="153" w:right="367"/>
              <w:jc w:val="center"/>
              <w:textDirection w:val="lrTbV"/>
              <w:rPr>
                <w:rFonts w:ascii="標楷體" w:eastAsia="標楷體"/>
              </w:rPr>
            </w:pPr>
          </w:p>
        </w:tc>
        <w:tc>
          <w:tcPr>
            <w:tcW w:w="1458" w:type="dxa"/>
            <w:vAlign w:val="center"/>
          </w:tcPr>
          <w:p w:rsidR="0033237D" w:rsidRPr="006F7D96" w:rsidRDefault="0033237D" w:rsidP="00087DDC">
            <w:pPr>
              <w:spacing w:line="240" w:lineRule="atLeast"/>
              <w:ind w:rightChars="153" w:right="367"/>
              <w:jc w:val="center"/>
              <w:textDirection w:val="lrTbV"/>
              <w:rPr>
                <w:rFonts w:ascii="標楷體" w:eastAsia="標楷體"/>
              </w:rPr>
            </w:pPr>
            <w:r>
              <w:rPr>
                <w:rFonts w:ascii="標楷體" w:eastAsia="標楷體" w:hint="eastAsia"/>
              </w:rPr>
              <w:t>單價</w:t>
            </w:r>
          </w:p>
        </w:tc>
        <w:tc>
          <w:tcPr>
            <w:tcW w:w="1201" w:type="dxa"/>
            <w:vAlign w:val="center"/>
          </w:tcPr>
          <w:p w:rsidR="0033237D" w:rsidRPr="006F7D96" w:rsidRDefault="0033237D" w:rsidP="00087DDC">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33237D" w:rsidRPr="009B5CF7" w:rsidTr="0033237D">
        <w:trPr>
          <w:trHeight w:val="522"/>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1</w:t>
            </w:r>
          </w:p>
        </w:tc>
        <w:tc>
          <w:tcPr>
            <w:tcW w:w="4003" w:type="dxa"/>
            <w:tcBorders>
              <w:right w:val="single" w:sz="4" w:space="0" w:color="auto"/>
            </w:tcBorders>
          </w:tcPr>
          <w:p w:rsidR="0033237D" w:rsidRPr="0033237D" w:rsidRDefault="0033237D" w:rsidP="0033237D">
            <w:pPr>
              <w:spacing w:beforeLines="50" w:before="180" w:afterLines="50" w:after="180" w:line="300" w:lineRule="exact"/>
              <w:rPr>
                <w:rFonts w:ascii="標楷體" w:eastAsia="標楷體"/>
              </w:rPr>
            </w:pPr>
            <w:r w:rsidRPr="0033237D">
              <w:rPr>
                <w:rFonts w:ascii="標楷體" w:eastAsia="標楷體" w:hint="eastAsia"/>
              </w:rPr>
              <w:t>殘留物測試依不同類型之市場報告</w:t>
            </w:r>
            <w:r w:rsidRPr="0033237D">
              <w:rPr>
                <w:rFonts w:ascii="標楷體" w:eastAsia="標楷體"/>
              </w:rPr>
              <w:t xml:space="preserve">Residue Testing Market by Type (Pesticides, Toxins, Heavy Metals, Allergens), Technology Chromatography, Spectroscopy,Immunoassay), Food Tested (Meat &amp; Poultry, Dairy Products, Processed Food, Fruits &amp; Vegetables, Cereals) </w:t>
            </w:r>
            <w:r w:rsidRPr="0033237D">
              <w:rPr>
                <w:rFonts w:ascii="標楷體" w:eastAsia="標楷體"/>
              </w:rPr>
              <w:t>–</w:t>
            </w:r>
            <w:r w:rsidRPr="0033237D">
              <w:rPr>
                <w:rFonts w:ascii="標楷體" w:eastAsia="標楷體"/>
              </w:rPr>
              <w:t xml:space="preserve"> Global Forecast to 2021</w:t>
            </w: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992" w:type="dxa"/>
            <w:vAlign w:val="center"/>
          </w:tcPr>
          <w:p w:rsidR="0033237D" w:rsidRPr="00BB055F"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9B5CF7" w:rsidTr="0033237D">
        <w:trPr>
          <w:trHeight w:val="522"/>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2</w:t>
            </w:r>
          </w:p>
        </w:tc>
        <w:tc>
          <w:tcPr>
            <w:tcW w:w="4003" w:type="dxa"/>
            <w:tcBorders>
              <w:right w:val="single" w:sz="4" w:space="0" w:color="auto"/>
            </w:tcBorders>
          </w:tcPr>
          <w:p w:rsidR="0033237D" w:rsidRPr="0033237D" w:rsidRDefault="0033237D" w:rsidP="0033237D">
            <w:pPr>
              <w:spacing w:line="240" w:lineRule="exact"/>
              <w:rPr>
                <w:rFonts w:ascii="標楷體" w:eastAsia="標楷體"/>
              </w:rPr>
            </w:pPr>
            <w:r w:rsidRPr="0033237D">
              <w:rPr>
                <w:rFonts w:ascii="標楷體" w:eastAsia="標楷體" w:hint="eastAsia"/>
              </w:rPr>
              <w:t>健康和保健食品 (保健食品)的全球市場:2017年～2021年</w:t>
            </w:r>
          </w:p>
          <w:p w:rsidR="0033237D" w:rsidRPr="0033237D" w:rsidRDefault="0033237D" w:rsidP="0033237D">
            <w:pPr>
              <w:spacing w:line="240" w:lineRule="exact"/>
              <w:rPr>
                <w:rFonts w:ascii="標楷體" w:eastAsia="標楷體"/>
              </w:rPr>
            </w:pPr>
            <w:r w:rsidRPr="0033237D">
              <w:rPr>
                <w:rFonts w:ascii="標楷體" w:eastAsia="標楷體"/>
              </w:rPr>
              <w:t>Global Health and Wellness Food Market 2017-2021</w:t>
            </w:r>
            <w:r w:rsidRPr="0033237D">
              <w:rPr>
                <w:rFonts w:ascii="標楷體" w:eastAsia="標楷體" w:hint="eastAsia"/>
              </w:rPr>
              <w:t>(TechNavio)</w:t>
            </w:r>
          </w:p>
        </w:tc>
        <w:tc>
          <w:tcPr>
            <w:tcW w:w="992"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9B5CF7" w:rsidTr="0033237D">
        <w:trPr>
          <w:trHeight w:val="522"/>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3</w:t>
            </w:r>
          </w:p>
        </w:tc>
        <w:tc>
          <w:tcPr>
            <w:tcW w:w="4003" w:type="dxa"/>
            <w:tcBorders>
              <w:right w:val="single" w:sz="4" w:space="0" w:color="auto"/>
            </w:tcBorders>
          </w:tcPr>
          <w:p w:rsidR="0033237D" w:rsidRPr="0033237D" w:rsidRDefault="0033237D" w:rsidP="0033237D">
            <w:pPr>
              <w:spacing w:line="240" w:lineRule="exact"/>
              <w:rPr>
                <w:rFonts w:ascii="標楷體" w:eastAsia="標楷體"/>
              </w:rPr>
            </w:pPr>
            <w:r w:rsidRPr="0033237D">
              <w:rPr>
                <w:rFonts w:ascii="標楷體" w:eastAsia="標楷體" w:hint="eastAsia"/>
              </w:rPr>
              <w:t>全球中藥草藥補充品市場分析與趨勢:產業預測</w:t>
            </w:r>
          </w:p>
          <w:p w:rsidR="0033237D" w:rsidRPr="0033237D" w:rsidRDefault="0033237D" w:rsidP="0033237D">
            <w:pPr>
              <w:spacing w:line="240" w:lineRule="exact"/>
              <w:rPr>
                <w:rFonts w:ascii="標楷體" w:eastAsia="標楷體"/>
              </w:rPr>
            </w:pPr>
            <w:r w:rsidRPr="0033237D">
              <w:rPr>
                <w:rFonts w:ascii="標楷體" w:eastAsia="標楷體"/>
              </w:rPr>
              <w:t>Global Herbal Supplements Market Analysis &amp; Trends - Industry Forecast to 2025</w:t>
            </w:r>
            <w:r w:rsidRPr="0033237D">
              <w:rPr>
                <w:rFonts w:ascii="標楷體" w:eastAsia="標楷體" w:hint="eastAsia"/>
              </w:rPr>
              <w:t>(Accuray Research)</w:t>
            </w:r>
          </w:p>
        </w:tc>
        <w:tc>
          <w:tcPr>
            <w:tcW w:w="992"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9B5CF7" w:rsidTr="0033237D">
        <w:trPr>
          <w:trHeight w:val="522"/>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4</w:t>
            </w:r>
          </w:p>
        </w:tc>
        <w:tc>
          <w:tcPr>
            <w:tcW w:w="4003" w:type="dxa"/>
            <w:tcBorders>
              <w:right w:val="single" w:sz="4" w:space="0" w:color="auto"/>
            </w:tcBorders>
          </w:tcPr>
          <w:p w:rsidR="0033237D" w:rsidRPr="0033237D" w:rsidRDefault="0033237D" w:rsidP="0033237D">
            <w:pPr>
              <w:spacing w:line="240" w:lineRule="exact"/>
              <w:rPr>
                <w:rFonts w:ascii="標楷體" w:eastAsia="標楷體"/>
              </w:rPr>
            </w:pPr>
            <w:r w:rsidRPr="0033237D">
              <w:rPr>
                <w:rFonts w:ascii="標楷體" w:eastAsia="標楷體" w:hint="eastAsia"/>
              </w:rPr>
              <w:t>β聚葡萄糖的全球市場預測 2022年:穀類、海藻、酵母、蘑菇類</w:t>
            </w:r>
          </w:p>
          <w:p w:rsidR="0033237D" w:rsidRPr="0033237D" w:rsidRDefault="0033237D" w:rsidP="0033237D">
            <w:pPr>
              <w:spacing w:line="240" w:lineRule="exact"/>
              <w:rPr>
                <w:rFonts w:ascii="標楷體" w:eastAsia="標楷體"/>
              </w:rPr>
            </w:pPr>
            <w:r w:rsidRPr="0033237D">
              <w:rPr>
                <w:rFonts w:ascii="標楷體" w:eastAsia="標楷體"/>
              </w:rPr>
              <w:t>Beta-Glucan Market by Source (Cereal, Mushroom, Yeast, Seaweed), Application (Food &amp; Beverages, Personal Care, Pharmaceuticals, Animal Feed), Category (Soluble, Insoluble), and Region - Global Forecast to 2022</w:t>
            </w:r>
          </w:p>
          <w:p w:rsidR="0033237D" w:rsidRPr="0033237D" w:rsidRDefault="0033237D" w:rsidP="0033237D">
            <w:pPr>
              <w:spacing w:line="240" w:lineRule="exact"/>
              <w:rPr>
                <w:rFonts w:ascii="標楷體" w:eastAsia="標楷體"/>
              </w:rPr>
            </w:pP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992"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9B5CF7" w:rsidTr="0033237D">
        <w:trPr>
          <w:trHeight w:val="522"/>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5</w:t>
            </w:r>
          </w:p>
        </w:tc>
        <w:tc>
          <w:tcPr>
            <w:tcW w:w="4003" w:type="dxa"/>
            <w:tcBorders>
              <w:right w:val="single" w:sz="4" w:space="0" w:color="auto"/>
            </w:tcBorders>
          </w:tcPr>
          <w:p w:rsidR="0033237D" w:rsidRPr="0033237D" w:rsidRDefault="0033237D" w:rsidP="0033237D">
            <w:pPr>
              <w:spacing w:line="240" w:lineRule="exact"/>
              <w:rPr>
                <w:rFonts w:ascii="標楷體" w:eastAsia="標楷體"/>
              </w:rPr>
            </w:pPr>
            <w:r w:rsidRPr="0033237D">
              <w:rPr>
                <w:rFonts w:ascii="標楷體" w:eastAsia="標楷體" w:hint="eastAsia"/>
              </w:rPr>
              <w:t>全球藻類Omega 3成分市場 - 增長，趨勢和預測（2017-2022）</w:t>
            </w:r>
          </w:p>
          <w:p w:rsidR="0033237D" w:rsidRPr="0033237D" w:rsidRDefault="0033237D" w:rsidP="0033237D">
            <w:pPr>
              <w:spacing w:line="240" w:lineRule="exact"/>
              <w:rPr>
                <w:rFonts w:ascii="標楷體" w:eastAsia="標楷體"/>
              </w:rPr>
            </w:pPr>
            <w:r w:rsidRPr="0033237D">
              <w:rPr>
                <w:rFonts w:ascii="標楷體" w:eastAsia="標楷體"/>
              </w:rPr>
              <w:t>Global Algae Omega 3 Ingredient Market - Growth,Trends and Forecasts (2017 -2022)</w:t>
            </w:r>
            <w:r w:rsidRPr="0033237D">
              <w:rPr>
                <w:rFonts w:ascii="標楷體" w:eastAsia="標楷體" w:hint="eastAsia"/>
              </w:rPr>
              <w:t>( Mordor Intelligence LLP)</w:t>
            </w:r>
          </w:p>
        </w:tc>
        <w:tc>
          <w:tcPr>
            <w:tcW w:w="992"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9B5CF7" w:rsidTr="0033237D">
        <w:trPr>
          <w:trHeight w:val="585"/>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6</w:t>
            </w:r>
          </w:p>
        </w:tc>
        <w:tc>
          <w:tcPr>
            <w:tcW w:w="4003" w:type="dxa"/>
            <w:tcBorders>
              <w:right w:val="single" w:sz="4" w:space="0" w:color="auto"/>
            </w:tcBorders>
          </w:tcPr>
          <w:p w:rsidR="0033237D" w:rsidRPr="0033237D" w:rsidRDefault="0033237D" w:rsidP="0033237D">
            <w:pPr>
              <w:spacing w:line="240" w:lineRule="exact"/>
              <w:rPr>
                <w:rFonts w:ascii="標楷體" w:eastAsia="標楷體"/>
              </w:rPr>
            </w:pPr>
            <w:r w:rsidRPr="0033237D">
              <w:rPr>
                <w:rFonts w:ascii="標楷體" w:eastAsia="標楷體" w:hint="eastAsia"/>
              </w:rPr>
              <w:t>生醫材料的全球市場:分析與預測</w:t>
            </w:r>
          </w:p>
          <w:p w:rsidR="0033237D" w:rsidRPr="0033237D" w:rsidRDefault="0033237D" w:rsidP="0033237D">
            <w:pPr>
              <w:spacing w:line="240" w:lineRule="exact"/>
              <w:rPr>
                <w:rFonts w:ascii="標楷體" w:eastAsia="標楷體"/>
              </w:rPr>
            </w:pPr>
            <w:r w:rsidRPr="0033237D">
              <w:rPr>
                <w:rFonts w:ascii="標楷體" w:eastAsia="標楷體"/>
              </w:rPr>
              <w:t>Global Biomaterials Market - Analysis and Forecast 2017-2021: Focus on Type (Polymer, Metal, Ceramic, Natural, Regenerative), Application and Region</w:t>
            </w:r>
            <w:r w:rsidRPr="0033237D">
              <w:rPr>
                <w:rFonts w:ascii="標楷體" w:eastAsia="標楷體" w:hint="eastAsia"/>
              </w:rPr>
              <w:t>(BIS Research)</w:t>
            </w:r>
          </w:p>
        </w:tc>
        <w:tc>
          <w:tcPr>
            <w:tcW w:w="992"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vAlign w:val="center"/>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9B5CF7" w:rsidTr="0033237D">
        <w:trPr>
          <w:trHeight w:val="585"/>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7</w:t>
            </w:r>
          </w:p>
        </w:tc>
        <w:tc>
          <w:tcPr>
            <w:tcW w:w="4003" w:type="dxa"/>
            <w:tcBorders>
              <w:right w:val="single" w:sz="4" w:space="0" w:color="auto"/>
            </w:tcBorders>
          </w:tcPr>
          <w:p w:rsidR="0033237D" w:rsidRPr="0033237D" w:rsidRDefault="0033237D" w:rsidP="0033237D">
            <w:pPr>
              <w:spacing w:line="240" w:lineRule="exact"/>
              <w:rPr>
                <w:rFonts w:ascii="標楷體" w:eastAsia="標楷體"/>
              </w:rPr>
            </w:pPr>
            <w:r w:rsidRPr="0033237D">
              <w:rPr>
                <w:rFonts w:ascii="標楷體" w:eastAsia="標楷體" w:hint="eastAsia"/>
              </w:rPr>
              <w:t>智慧農業的全球市場預測 2022年為止的預測:精密農業、家畜監測、人工養魚、智慧溫室栽培</w:t>
            </w:r>
          </w:p>
          <w:p w:rsidR="0033237D" w:rsidRPr="0033237D" w:rsidRDefault="0033237D" w:rsidP="0033237D">
            <w:pPr>
              <w:spacing w:line="240" w:lineRule="exact"/>
              <w:rPr>
                <w:rFonts w:ascii="標楷體" w:eastAsia="標楷體"/>
              </w:rPr>
            </w:pPr>
            <w:r w:rsidRPr="0033237D">
              <w:rPr>
                <w:rFonts w:ascii="標楷體" w:eastAsia="標楷體"/>
              </w:rPr>
              <w:t>Smart Agriculture Market by Agriculture Type (Precision Farming, Livestock Monitoring, Fish Farming, Smart Greenhouse), Hardware (GPS, Drones, Sensors, RFID, LED Grow Lights), Software, Services, Application, and Geography - Global Forecast to 2022</w:t>
            </w:r>
          </w:p>
          <w:p w:rsidR="0033237D" w:rsidRPr="0033237D" w:rsidRDefault="0033237D" w:rsidP="0033237D">
            <w:pPr>
              <w:spacing w:line="240" w:lineRule="exact"/>
              <w:rPr>
                <w:rFonts w:ascii="標楷體" w:eastAsia="標楷體"/>
              </w:rPr>
            </w:pP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992"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vAlign w:val="center"/>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9B5CF7" w:rsidTr="0033237D">
        <w:trPr>
          <w:trHeight w:val="585"/>
          <w:jc w:val="center"/>
        </w:trPr>
        <w:tc>
          <w:tcPr>
            <w:tcW w:w="841" w:type="dxa"/>
          </w:tcPr>
          <w:p w:rsidR="0033237D" w:rsidRDefault="0033237D" w:rsidP="0033237D">
            <w:pPr>
              <w:spacing w:beforeLines="50" w:before="180" w:afterLines="50" w:after="180" w:line="300" w:lineRule="exact"/>
              <w:jc w:val="both"/>
              <w:rPr>
                <w:rFonts w:ascii="標楷體" w:eastAsia="標楷體"/>
                <w:sz w:val="28"/>
              </w:rPr>
            </w:pPr>
            <w:r>
              <w:rPr>
                <w:rFonts w:ascii="標楷體" w:eastAsia="標楷體" w:hint="eastAsia"/>
                <w:sz w:val="28"/>
              </w:rPr>
              <w:t>8</w:t>
            </w:r>
          </w:p>
        </w:tc>
        <w:tc>
          <w:tcPr>
            <w:tcW w:w="4003" w:type="dxa"/>
            <w:tcBorders>
              <w:right w:val="single" w:sz="4" w:space="0" w:color="auto"/>
            </w:tcBorders>
          </w:tcPr>
          <w:p w:rsidR="0033237D" w:rsidRPr="0033237D" w:rsidRDefault="0033237D" w:rsidP="0033237D">
            <w:pPr>
              <w:spacing w:line="240" w:lineRule="exact"/>
              <w:rPr>
                <w:rFonts w:ascii="標楷體" w:eastAsia="標楷體"/>
              </w:rPr>
            </w:pPr>
            <w:r w:rsidRPr="0033237D">
              <w:rPr>
                <w:rFonts w:ascii="標楷體" w:eastAsia="標楷體" w:hint="eastAsia"/>
              </w:rPr>
              <w:t>健康功能成分的全球市場 ～2022年:維生素和礦物質、益生元、脂質、功能性糖類、植物&amp;水果萃取物、酵素、益生菌發酵劑培養物、蛋白質</w:t>
            </w:r>
          </w:p>
          <w:p w:rsidR="0033237D" w:rsidRPr="0033237D" w:rsidRDefault="0033237D" w:rsidP="0033237D">
            <w:pPr>
              <w:spacing w:line="240" w:lineRule="exact"/>
              <w:rPr>
                <w:rFonts w:ascii="標楷體" w:eastAsia="標楷體"/>
              </w:rPr>
            </w:pPr>
            <w:r w:rsidRPr="0033237D">
              <w:rPr>
                <w:rFonts w:ascii="標楷體" w:eastAsia="標楷體"/>
              </w:rPr>
              <w:t>Health Ingredients Market by Type (Vitamins, Minerals, Prebiotics, Nutritional Lipids, Functional Carbohydrates ,Plant and fruit extracts, Enzymes, Probiotic Starter Cultures, Proteins), Application , Source ,and Region - Global forecast to 2022</w:t>
            </w:r>
          </w:p>
          <w:p w:rsidR="0033237D" w:rsidRPr="0033237D" w:rsidRDefault="0033237D" w:rsidP="0033237D">
            <w:pPr>
              <w:spacing w:line="240" w:lineRule="exact"/>
              <w:rPr>
                <w:rFonts w:ascii="標楷體" w:eastAsia="標楷體"/>
              </w:rPr>
            </w:pPr>
            <w:r w:rsidRPr="0033237D">
              <w:rPr>
                <w:rFonts w:ascii="標楷體" w:eastAsia="標楷體" w:hint="eastAsia"/>
              </w:rPr>
              <w:t>(Marketsand</w:t>
            </w:r>
            <w:r w:rsidRPr="0033237D">
              <w:rPr>
                <w:rFonts w:ascii="標楷體" w:eastAsia="標楷體"/>
              </w:rPr>
              <w:t>Market</w:t>
            </w:r>
            <w:r w:rsidRPr="0033237D">
              <w:rPr>
                <w:rFonts w:ascii="標楷體" w:eastAsia="標楷體" w:hint="eastAsia"/>
              </w:rPr>
              <w:t>)</w:t>
            </w:r>
          </w:p>
        </w:tc>
        <w:tc>
          <w:tcPr>
            <w:tcW w:w="992" w:type="dxa"/>
            <w:vAlign w:val="center"/>
          </w:tcPr>
          <w:p w:rsidR="0033237D" w:rsidRDefault="0033237D" w:rsidP="0033237D">
            <w:pPr>
              <w:snapToGrid w:val="0"/>
              <w:jc w:val="center"/>
              <w:rPr>
                <w:rFonts w:ascii="標楷體" w:eastAsia="標楷體" w:hAnsi="標楷體"/>
              </w:rPr>
            </w:pPr>
            <w:r>
              <w:rPr>
                <w:rFonts w:ascii="標楷體" w:eastAsia="標楷體" w:hAnsi="標楷體" w:hint="eastAsia"/>
              </w:rPr>
              <w:t>1本</w:t>
            </w:r>
          </w:p>
        </w:tc>
        <w:tc>
          <w:tcPr>
            <w:tcW w:w="1418" w:type="dxa"/>
          </w:tcPr>
          <w:p w:rsidR="0033237D" w:rsidRDefault="0033237D" w:rsidP="0033237D">
            <w:pPr>
              <w:spacing w:beforeLines="50" w:before="180" w:afterLines="50" w:after="180" w:line="300" w:lineRule="exact"/>
              <w:jc w:val="both"/>
              <w:rPr>
                <w:rFonts w:ascii="標楷體" w:eastAsia="標楷體"/>
                <w:sz w:val="28"/>
              </w:rPr>
            </w:pPr>
          </w:p>
        </w:tc>
        <w:tc>
          <w:tcPr>
            <w:tcW w:w="1458" w:type="dxa"/>
          </w:tcPr>
          <w:p w:rsidR="0033237D" w:rsidRDefault="0033237D" w:rsidP="0033237D">
            <w:pPr>
              <w:spacing w:beforeLines="50" w:before="180" w:afterLines="50" w:after="180" w:line="300" w:lineRule="exact"/>
              <w:jc w:val="both"/>
              <w:rPr>
                <w:rFonts w:ascii="標楷體" w:eastAsia="標楷體"/>
                <w:sz w:val="28"/>
              </w:rPr>
            </w:pPr>
          </w:p>
        </w:tc>
        <w:tc>
          <w:tcPr>
            <w:tcW w:w="1201" w:type="dxa"/>
            <w:vAlign w:val="center"/>
          </w:tcPr>
          <w:p w:rsidR="0033237D" w:rsidRPr="00B161AC" w:rsidRDefault="0033237D" w:rsidP="00087DDC">
            <w:pPr>
              <w:spacing w:line="300" w:lineRule="atLeast"/>
              <w:ind w:rightChars="153" w:right="367"/>
              <w:jc w:val="center"/>
              <w:textDirection w:val="lrTbV"/>
              <w:rPr>
                <w:rFonts w:ascii="標楷體" w:eastAsia="標楷體" w:hAnsi="標楷體"/>
                <w:sz w:val="22"/>
                <w:szCs w:val="22"/>
              </w:rPr>
            </w:pPr>
          </w:p>
        </w:tc>
      </w:tr>
      <w:tr w:rsidR="0033237D" w:rsidRPr="006F7D96" w:rsidTr="0033237D">
        <w:trPr>
          <w:trHeight w:val="522"/>
          <w:jc w:val="center"/>
        </w:trPr>
        <w:tc>
          <w:tcPr>
            <w:tcW w:w="841" w:type="dxa"/>
            <w:vAlign w:val="center"/>
          </w:tcPr>
          <w:p w:rsidR="0033237D" w:rsidRPr="00B161AC" w:rsidRDefault="0033237D" w:rsidP="00087DDC">
            <w:pPr>
              <w:spacing w:line="300" w:lineRule="atLeast"/>
              <w:ind w:rightChars="153" w:right="367"/>
              <w:jc w:val="center"/>
              <w:textDirection w:val="lrTbV"/>
              <w:rPr>
                <w:rFonts w:ascii="標楷體" w:eastAsia="標楷體" w:hAnsi="標楷體"/>
              </w:rPr>
            </w:pPr>
          </w:p>
        </w:tc>
        <w:tc>
          <w:tcPr>
            <w:tcW w:w="4003" w:type="dxa"/>
            <w:tcBorders>
              <w:right w:val="single" w:sz="4" w:space="0" w:color="auto"/>
            </w:tcBorders>
            <w:vAlign w:val="center"/>
          </w:tcPr>
          <w:p w:rsidR="0033237D" w:rsidRPr="00B161AC" w:rsidRDefault="0033237D" w:rsidP="00087DDC">
            <w:pPr>
              <w:jc w:val="center"/>
              <w:rPr>
                <w:rFonts w:ascii="標楷體" w:eastAsia="標楷體" w:hAnsi="標楷體"/>
                <w:sz w:val="30"/>
                <w:szCs w:val="30"/>
              </w:rPr>
            </w:pPr>
            <w:r w:rsidRPr="00B161AC">
              <w:rPr>
                <w:rFonts w:ascii="標楷體" w:eastAsia="標楷體" w:hAnsi="標楷體" w:hint="eastAsia"/>
                <w:sz w:val="30"/>
                <w:szCs w:val="30"/>
              </w:rPr>
              <w:t>合計</w:t>
            </w:r>
          </w:p>
        </w:tc>
        <w:tc>
          <w:tcPr>
            <w:tcW w:w="992" w:type="dxa"/>
            <w:vAlign w:val="center"/>
          </w:tcPr>
          <w:p w:rsidR="0033237D" w:rsidRPr="00B161AC" w:rsidRDefault="0033237D" w:rsidP="00087DDC">
            <w:pPr>
              <w:jc w:val="right"/>
              <w:rPr>
                <w:rFonts w:ascii="標楷體" w:eastAsia="標楷體" w:hAnsi="標楷體"/>
                <w:sz w:val="30"/>
                <w:szCs w:val="30"/>
              </w:rPr>
            </w:pPr>
          </w:p>
        </w:tc>
        <w:tc>
          <w:tcPr>
            <w:tcW w:w="1418" w:type="dxa"/>
          </w:tcPr>
          <w:p w:rsidR="0033237D" w:rsidRPr="00B161AC" w:rsidRDefault="0033237D" w:rsidP="00087DDC">
            <w:pPr>
              <w:spacing w:line="300" w:lineRule="atLeast"/>
              <w:ind w:rightChars="153" w:right="367"/>
              <w:jc w:val="right"/>
              <w:textDirection w:val="lrTbV"/>
              <w:rPr>
                <w:rFonts w:ascii="標楷體" w:eastAsia="標楷體" w:hAnsi="標楷體"/>
              </w:rPr>
            </w:pPr>
          </w:p>
        </w:tc>
        <w:tc>
          <w:tcPr>
            <w:tcW w:w="1458" w:type="dxa"/>
            <w:vAlign w:val="center"/>
          </w:tcPr>
          <w:p w:rsidR="0033237D" w:rsidRPr="00B161AC" w:rsidRDefault="0033237D" w:rsidP="00087DDC">
            <w:pPr>
              <w:spacing w:line="300" w:lineRule="atLeast"/>
              <w:ind w:rightChars="153" w:right="367"/>
              <w:jc w:val="right"/>
              <w:textDirection w:val="lrTbV"/>
              <w:rPr>
                <w:rFonts w:ascii="標楷體" w:eastAsia="標楷體" w:hAnsi="標楷體"/>
              </w:rPr>
            </w:pPr>
          </w:p>
        </w:tc>
        <w:tc>
          <w:tcPr>
            <w:tcW w:w="1201" w:type="dxa"/>
          </w:tcPr>
          <w:p w:rsidR="0033237D" w:rsidRPr="00B161AC" w:rsidRDefault="0033237D" w:rsidP="00087DDC">
            <w:pPr>
              <w:spacing w:line="300" w:lineRule="atLeast"/>
              <w:ind w:rightChars="153" w:right="367"/>
              <w:jc w:val="center"/>
              <w:textDirection w:val="lrTbV"/>
              <w:rPr>
                <w:rFonts w:ascii="標楷體" w:eastAsia="標楷體" w:hAnsi="標楷體"/>
              </w:rPr>
            </w:pPr>
          </w:p>
        </w:tc>
      </w:tr>
    </w:tbl>
    <w:p w:rsidR="00D8712C" w:rsidRPr="006F7D96" w:rsidRDefault="00D8712C" w:rsidP="00D8712C">
      <w:pPr>
        <w:spacing w:line="240" w:lineRule="atLeast"/>
        <w:ind w:rightChars="153" w:right="367"/>
        <w:textDirection w:val="lrTbV"/>
        <w:rPr>
          <w:rFonts w:ascii="標楷體" w:eastAsia="標楷體"/>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D8712C" w:rsidRPr="006F7D96" w:rsidRDefault="00D8712C" w:rsidP="00D8712C">
      <w:pPr>
        <w:pStyle w:val="7"/>
        <w:ind w:left="0" w:firstLine="0"/>
        <w:jc w:val="both"/>
        <w:textDirection w:val="lrTbV"/>
        <w:rPr>
          <w:rFonts w:eastAsia="標楷體"/>
          <w:spacing w:val="0"/>
        </w:rPr>
      </w:pPr>
    </w:p>
    <w:p w:rsidR="00D8712C" w:rsidRDefault="00D8712C" w:rsidP="00D8712C">
      <w:pPr>
        <w:pStyle w:val="7"/>
        <w:ind w:left="0" w:firstLine="0"/>
        <w:jc w:val="both"/>
        <w:textDirection w:val="lrTbV"/>
        <w:rPr>
          <w:rFonts w:eastAsia="標楷體"/>
          <w:spacing w:val="0"/>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投標廠商：　　　　　　　　                   　     　　    　　印</w:t>
      </w:r>
    </w:p>
    <w:p w:rsidR="00D8712C" w:rsidRDefault="00D8712C" w:rsidP="00D8712C">
      <w:pPr>
        <w:spacing w:line="400" w:lineRule="exact"/>
        <w:jc w:val="both"/>
        <w:rPr>
          <w:rFonts w:ascii="標楷體" w:eastAsia="標楷體" w:hAnsi="標楷體"/>
        </w:rPr>
      </w:pPr>
    </w:p>
    <w:p w:rsidR="00087DDC" w:rsidRPr="006F7D96" w:rsidRDefault="00087DDC" w:rsidP="00D8712C">
      <w:pPr>
        <w:spacing w:line="400" w:lineRule="exact"/>
        <w:jc w:val="both"/>
        <w:rPr>
          <w:rFonts w:ascii="標楷體" w:eastAsia="標楷體" w:hAnsi="標楷體"/>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負 責 人：　  　　　　　　　 　                           　　　印</w:t>
      </w:r>
    </w:p>
    <w:p w:rsidR="0033237D" w:rsidRDefault="0033237D" w:rsidP="0078748D">
      <w:pPr>
        <w:spacing w:line="360" w:lineRule="exact"/>
        <w:jc w:val="center"/>
        <w:textDirection w:val="lrTbV"/>
        <w:rPr>
          <w:rFonts w:eastAsia="標楷體"/>
        </w:rPr>
      </w:pPr>
    </w:p>
    <w:p w:rsidR="0033237D" w:rsidRDefault="0033237D" w:rsidP="0078748D">
      <w:pPr>
        <w:spacing w:line="360" w:lineRule="exact"/>
        <w:jc w:val="center"/>
        <w:textDirection w:val="lrTbV"/>
        <w:rPr>
          <w:rFonts w:eastAsia="標楷體"/>
        </w:rPr>
      </w:pPr>
    </w:p>
    <w:p w:rsidR="0033237D" w:rsidRDefault="0033237D" w:rsidP="0078748D">
      <w:pPr>
        <w:spacing w:line="360" w:lineRule="exact"/>
        <w:jc w:val="center"/>
        <w:textDirection w:val="lrTbV"/>
        <w:rPr>
          <w:rFonts w:eastAsia="標楷體"/>
        </w:rPr>
      </w:pPr>
    </w:p>
    <w:p w:rsidR="0033237D" w:rsidRDefault="0033237D" w:rsidP="0078748D">
      <w:pPr>
        <w:spacing w:line="360" w:lineRule="exact"/>
        <w:jc w:val="center"/>
        <w:textDirection w:val="lrTbV"/>
        <w:rPr>
          <w:rFonts w:eastAsia="標楷體"/>
        </w:rPr>
      </w:pPr>
    </w:p>
    <w:p w:rsidR="0033237D" w:rsidRDefault="0033237D" w:rsidP="0078748D">
      <w:pPr>
        <w:spacing w:line="360" w:lineRule="exact"/>
        <w:jc w:val="center"/>
        <w:textDirection w:val="lrTbV"/>
        <w:rPr>
          <w:rFonts w:eastAsia="標楷體"/>
        </w:rPr>
      </w:pPr>
    </w:p>
    <w:p w:rsidR="0033237D" w:rsidRDefault="0033237D" w:rsidP="0078748D">
      <w:pPr>
        <w:spacing w:line="360" w:lineRule="exact"/>
        <w:jc w:val="center"/>
        <w:textDirection w:val="lrTbV"/>
        <w:rPr>
          <w:rFonts w:eastAsia="標楷體"/>
        </w:rPr>
      </w:pPr>
    </w:p>
    <w:p w:rsidR="0033237D" w:rsidRDefault="0033237D" w:rsidP="0078748D">
      <w:pPr>
        <w:spacing w:line="360" w:lineRule="exact"/>
        <w:jc w:val="center"/>
        <w:textDirection w:val="lrTbV"/>
        <w:rPr>
          <w:rFonts w:eastAsia="標楷體"/>
        </w:rPr>
      </w:pPr>
    </w:p>
    <w:p w:rsidR="0033237D" w:rsidRDefault="0033237D" w:rsidP="0078748D">
      <w:pPr>
        <w:spacing w:line="360" w:lineRule="exact"/>
        <w:jc w:val="center"/>
        <w:textDirection w:val="lrTbV"/>
        <w:rPr>
          <w:rFonts w:eastAsia="標楷體"/>
        </w:rPr>
      </w:pPr>
    </w:p>
    <w:p w:rsidR="0078748D" w:rsidRPr="0023763D" w:rsidRDefault="0078748D" w:rsidP="0078748D">
      <w:pPr>
        <w:spacing w:line="360" w:lineRule="exact"/>
        <w:jc w:val="center"/>
        <w:textDirection w:val="lrTbV"/>
        <w:rPr>
          <w:rFonts w:eastAsia="標楷體"/>
        </w:rPr>
      </w:pPr>
      <w:r w:rsidRPr="0023763D">
        <w:rPr>
          <w:rFonts w:eastAsia="標楷體"/>
        </w:rPr>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BC1C99">
        <w:rPr>
          <w:rFonts w:eastAsia="標楷體" w:hint="eastAsia"/>
          <w:sz w:val="20"/>
        </w:rPr>
        <w:t>6</w:t>
      </w:r>
      <w:r w:rsidRPr="00C624A4">
        <w:rPr>
          <w:rFonts w:eastAsia="標楷體"/>
          <w:sz w:val="20"/>
        </w:rPr>
        <w:t>.</w:t>
      </w:r>
      <w:r w:rsidR="001A22F2">
        <w:rPr>
          <w:rFonts w:eastAsia="標楷體" w:hint="eastAsia"/>
          <w:sz w:val="20"/>
        </w:rPr>
        <w:t>9.14</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FF5C3A">
        <w:rPr>
          <w:rFonts w:eastAsia="標楷體" w:hint="eastAsia"/>
          <w:spacing w:val="0"/>
          <w:szCs w:val="24"/>
        </w:rPr>
        <w:t>國外市場分析報告</w:t>
      </w:r>
      <w:r w:rsidR="00FF5C3A">
        <w:rPr>
          <w:rFonts w:eastAsia="標楷體" w:hint="eastAsia"/>
          <w:spacing w:val="0"/>
          <w:szCs w:val="24"/>
        </w:rPr>
        <w:t xml:space="preserve"> </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1A12BB">
        <w:rPr>
          <w:rFonts w:eastAsia="標楷體"/>
          <w:szCs w:val="24"/>
        </w:rPr>
        <w:sym w:font="Wingdings 2" w:char="F0A2"/>
      </w:r>
      <w:r w:rsidRPr="0023763D">
        <w:rPr>
          <w:rFonts w:eastAsia="標楷體"/>
          <w:spacing w:val="0"/>
          <w:szCs w:val="24"/>
        </w:rPr>
        <w:t>購買；</w:t>
      </w:r>
      <w:r w:rsidR="001A12BB"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0F1716" w:rsidRPr="0083034A">
        <w:rPr>
          <w:rFonts w:eastAsia="標楷體"/>
          <w:szCs w:val="24"/>
        </w:rPr>
        <w:sym w:font="Wingdings 2" w:char="F0A2"/>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0F1716"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080968" w:rsidRDefault="0078748D" w:rsidP="0078748D">
      <w:pPr>
        <w:pStyle w:val="7"/>
        <w:numPr>
          <w:ilvl w:val="0"/>
          <w:numId w:val="1"/>
        </w:numPr>
        <w:ind w:left="570"/>
        <w:jc w:val="both"/>
        <w:textDirection w:val="lrTbV"/>
        <w:rPr>
          <w:rFonts w:eastAsia="標楷體"/>
          <w:color w:val="FF0000"/>
          <w:spacing w:val="4"/>
          <w:szCs w:val="24"/>
        </w:rPr>
      </w:pPr>
      <w:r w:rsidRPr="00AD564A">
        <w:rPr>
          <w:rFonts w:eastAsia="標楷體"/>
          <w:spacing w:val="4"/>
          <w:szCs w:val="24"/>
        </w:rPr>
        <w:t>本採購預算金額</w:t>
      </w:r>
      <w:r w:rsidRPr="00AD564A">
        <w:rPr>
          <w:rFonts w:eastAsia="標楷體"/>
          <w:spacing w:val="4"/>
          <w:szCs w:val="24"/>
        </w:rPr>
        <w:t>(</w:t>
      </w:r>
      <w:r w:rsidRPr="00AD564A">
        <w:rPr>
          <w:rFonts w:eastAsia="標楷體"/>
          <w:spacing w:val="4"/>
          <w:szCs w:val="24"/>
        </w:rPr>
        <w:t>不公告者免填；但依「投標廠商資格與特殊或巨額採購認定標準」第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6D4D1F">
        <w:rPr>
          <w:rFonts w:eastAsia="標楷體"/>
          <w:spacing w:val="4"/>
          <w:szCs w:val="24"/>
        </w:rPr>
        <w:t>)</w:t>
      </w:r>
      <w:r w:rsidRPr="006D4D1F">
        <w:rPr>
          <w:rFonts w:eastAsia="標楷體"/>
          <w:spacing w:val="4"/>
          <w:szCs w:val="24"/>
        </w:rPr>
        <w:t>：</w:t>
      </w:r>
      <w:r w:rsidR="0033237D">
        <w:rPr>
          <w:rFonts w:eastAsia="標楷體" w:hint="eastAsia"/>
          <w:spacing w:val="4"/>
          <w:szCs w:val="24"/>
        </w:rPr>
        <w:t>壹佰貳</w:t>
      </w:r>
      <w:r w:rsidR="001A22F2">
        <w:rPr>
          <w:rFonts w:eastAsia="標楷體" w:hint="eastAsia"/>
          <w:spacing w:val="4"/>
          <w:szCs w:val="24"/>
        </w:rPr>
        <w:t>拾</w:t>
      </w:r>
      <w:r w:rsidR="0033237D">
        <w:rPr>
          <w:rFonts w:eastAsia="標楷體" w:hint="eastAsia"/>
          <w:spacing w:val="4"/>
          <w:szCs w:val="24"/>
        </w:rPr>
        <w:t>捌萬捌仟玖佰柒拾肆</w:t>
      </w:r>
      <w:r w:rsidR="00CF34B2" w:rsidRPr="00583CCD">
        <w:rPr>
          <w:rFonts w:ascii="標楷體" w:eastAsia="標楷體" w:hAnsi="標楷體" w:hint="eastAsia"/>
          <w:spacing w:val="4"/>
          <w:szCs w:val="24"/>
        </w:rPr>
        <w:t>元整(</w:t>
      </w:r>
      <w:r w:rsidR="0033237D">
        <w:rPr>
          <w:rFonts w:ascii="標楷體" w:eastAsia="標楷體" w:hAnsi="標楷體" w:hint="eastAsia"/>
          <w:spacing w:val="4"/>
          <w:szCs w:val="24"/>
        </w:rPr>
        <w:t>1,288</w:t>
      </w:r>
      <w:r w:rsidR="00CF34B2" w:rsidRPr="00583CCD">
        <w:rPr>
          <w:rFonts w:ascii="標楷體" w:eastAsia="標楷體" w:hAnsi="標楷體" w:hint="eastAsia"/>
          <w:spacing w:val="4"/>
          <w:szCs w:val="24"/>
        </w:rPr>
        <w:t>,</w:t>
      </w:r>
      <w:r w:rsidR="0033237D">
        <w:rPr>
          <w:rFonts w:ascii="標楷體" w:eastAsia="標楷體" w:hAnsi="標楷體" w:hint="eastAsia"/>
          <w:spacing w:val="4"/>
          <w:szCs w:val="24"/>
        </w:rPr>
        <w:t>974</w:t>
      </w:r>
      <w:r w:rsidR="00CF34B2" w:rsidRPr="00583CCD">
        <w:rPr>
          <w:rFonts w:ascii="標楷體" w:eastAsia="標楷體" w:hAnsi="標楷體" w:hint="eastAsia"/>
          <w:spacing w:val="4"/>
          <w:szCs w:val="24"/>
        </w:rPr>
        <w:t>元)</w:t>
      </w:r>
      <w:r w:rsidR="001A22F2" w:rsidRPr="00080968">
        <w:rPr>
          <w:rFonts w:eastAsia="標楷體"/>
          <w:color w:val="FF0000"/>
          <w:spacing w:val="4"/>
          <w:szCs w:val="24"/>
        </w:rPr>
        <w:t xml:space="preserve"> </w:t>
      </w:r>
    </w:p>
    <w:p w:rsidR="00F844E2" w:rsidRPr="00080968" w:rsidRDefault="0078748D" w:rsidP="00F844E2">
      <w:pPr>
        <w:pStyle w:val="7"/>
        <w:numPr>
          <w:ilvl w:val="0"/>
          <w:numId w:val="1"/>
        </w:numPr>
        <w:ind w:left="570"/>
        <w:jc w:val="both"/>
        <w:textDirection w:val="lrTbV"/>
        <w:rPr>
          <w:rFonts w:eastAsia="標楷體"/>
          <w:color w:val="FF0000"/>
          <w:spacing w:val="4"/>
          <w:szCs w:val="24"/>
        </w:rPr>
      </w:pPr>
      <w:r w:rsidRPr="00583CCD">
        <w:rPr>
          <w:rFonts w:ascii="標楷體" w:eastAsia="標楷體" w:hAnsi="標楷體"/>
          <w:spacing w:val="0"/>
          <w:szCs w:val="24"/>
        </w:rPr>
        <w:t>本採購預計金額(不公告者免填)：</w:t>
      </w:r>
      <w:r w:rsidR="0033237D">
        <w:rPr>
          <w:rFonts w:eastAsia="標楷體" w:hint="eastAsia"/>
          <w:spacing w:val="4"/>
          <w:szCs w:val="24"/>
        </w:rPr>
        <w:t>壹佰貳拾捌萬捌仟玖佰柒拾肆</w:t>
      </w:r>
      <w:r w:rsidR="0033237D" w:rsidRPr="00583CCD">
        <w:rPr>
          <w:rFonts w:ascii="標楷體" w:eastAsia="標楷體" w:hAnsi="標楷體" w:hint="eastAsia"/>
          <w:spacing w:val="4"/>
          <w:szCs w:val="24"/>
        </w:rPr>
        <w:t>元整(</w:t>
      </w:r>
      <w:r w:rsidR="0033237D">
        <w:rPr>
          <w:rFonts w:ascii="標楷體" w:eastAsia="標楷體" w:hAnsi="標楷體" w:hint="eastAsia"/>
          <w:spacing w:val="4"/>
          <w:szCs w:val="24"/>
        </w:rPr>
        <w:t>1,288</w:t>
      </w:r>
      <w:r w:rsidR="0033237D" w:rsidRPr="00583CCD">
        <w:rPr>
          <w:rFonts w:ascii="標楷體" w:eastAsia="標楷體" w:hAnsi="標楷體" w:hint="eastAsia"/>
          <w:spacing w:val="4"/>
          <w:szCs w:val="24"/>
        </w:rPr>
        <w:t>,</w:t>
      </w:r>
      <w:r w:rsidR="0033237D">
        <w:rPr>
          <w:rFonts w:ascii="標楷體" w:eastAsia="標楷體" w:hAnsi="標楷體" w:hint="eastAsia"/>
          <w:spacing w:val="4"/>
          <w:szCs w:val="24"/>
        </w:rPr>
        <w:t>974</w:t>
      </w:r>
      <w:r w:rsidR="0033237D" w:rsidRPr="00583CCD">
        <w:rPr>
          <w:rFonts w:ascii="標楷體" w:eastAsia="標楷體" w:hAnsi="標楷體" w:hint="eastAsia"/>
          <w:spacing w:val="4"/>
          <w:szCs w:val="24"/>
        </w:rPr>
        <w:t>元)</w:t>
      </w:r>
      <w:r w:rsidR="001A22F2" w:rsidRPr="00080968">
        <w:rPr>
          <w:rFonts w:eastAsia="標楷體"/>
          <w:color w:val="FF0000"/>
          <w:spacing w:val="4"/>
          <w:szCs w:val="24"/>
        </w:rPr>
        <w:t xml:space="preserve"> </w:t>
      </w:r>
    </w:p>
    <w:p w:rsidR="0078748D" w:rsidRPr="006D4D1F" w:rsidRDefault="0078748D" w:rsidP="0078748D">
      <w:pPr>
        <w:pStyle w:val="7"/>
        <w:numPr>
          <w:ilvl w:val="0"/>
          <w:numId w:val="1"/>
        </w:numPr>
        <w:ind w:left="570"/>
        <w:jc w:val="both"/>
        <w:textDirection w:val="lrTbV"/>
        <w:rPr>
          <w:rFonts w:eastAsia="標楷體"/>
          <w:spacing w:val="0"/>
          <w:szCs w:val="24"/>
        </w:rPr>
      </w:pPr>
      <w:r w:rsidRPr="006D4D1F">
        <w:rPr>
          <w:rFonts w:eastAsia="標楷體"/>
          <w:spacing w:val="0"/>
          <w:szCs w:val="24"/>
        </w:rPr>
        <w:t>上級機關名稱：</w:t>
      </w:r>
      <w:r w:rsidRPr="006D4D1F">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33237D" w:rsidP="0078748D">
      <w:pPr>
        <w:pStyle w:val="7"/>
        <w:ind w:left="851" w:firstLine="0"/>
        <w:jc w:val="both"/>
        <w:textDirection w:val="lrTbV"/>
        <w:rPr>
          <w:rFonts w:eastAsia="標楷體"/>
          <w:spacing w:val="0"/>
          <w:szCs w:val="24"/>
        </w:rPr>
      </w:pPr>
      <w:r>
        <w:rPr>
          <w:rFonts w:ascii="新細明體" w:eastAsia="新細明體" w:hAnsi="新細明體" w:hint="eastAsia"/>
          <w:szCs w:val="24"/>
        </w:rPr>
        <w:t>■</w:t>
      </w:r>
      <w:r w:rsidR="0078748D" w:rsidRPr="0023763D">
        <w:rPr>
          <w:rFonts w:eastAsia="標楷體"/>
          <w:spacing w:val="0"/>
          <w:szCs w:val="24"/>
        </w:rPr>
        <w:t>(1)</w:t>
      </w:r>
      <w:r w:rsidR="0078748D" w:rsidRPr="0023763D">
        <w:rPr>
          <w:rFonts w:eastAsia="標楷體"/>
          <w:spacing w:val="0"/>
          <w:szCs w:val="24"/>
        </w:rPr>
        <w:t>公開招標</w:t>
      </w:r>
    </w:p>
    <w:p w:rsidR="0078748D" w:rsidRPr="0023763D" w:rsidRDefault="00884C3A" w:rsidP="0078748D">
      <w:pPr>
        <w:pStyle w:val="7"/>
        <w:ind w:leftChars="467" w:left="1954" w:hangingChars="347" w:hanging="833"/>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w:t>
      </w:r>
      <w:r w:rsidR="0078748D" w:rsidRPr="0023763D">
        <w:rPr>
          <w:rFonts w:eastAsia="標楷體"/>
          <w:spacing w:val="0"/>
          <w:szCs w:val="24"/>
        </w:rPr>
        <w:t>1-1</w:t>
      </w:r>
      <w:r w:rsidR="0078748D" w:rsidRPr="0023763D">
        <w:rPr>
          <w:rFonts w:eastAsia="標楷體"/>
          <w:spacing w:val="0"/>
          <w:szCs w:val="24"/>
        </w:rPr>
        <w:t>）本案為複數決標並採分項決標，廠商各項投標文件無需分項裝封，無需於大外標封標示投標項次，有</w:t>
      </w:r>
      <w:r w:rsidR="0078748D" w:rsidRPr="0023763D">
        <w:rPr>
          <w:rFonts w:eastAsia="標楷體"/>
          <w:spacing w:val="0"/>
          <w:szCs w:val="24"/>
        </w:rPr>
        <w:t>3</w:t>
      </w:r>
      <w:r w:rsidR="0078748D" w:rsidRPr="0023763D">
        <w:rPr>
          <w:rFonts w:eastAsia="標楷體"/>
          <w:spacing w:val="0"/>
          <w:szCs w:val="24"/>
        </w:rPr>
        <w:t>家以上廠商投標，且符合政府採購法施行細則第</w:t>
      </w:r>
      <w:r w:rsidR="0078748D" w:rsidRPr="0023763D">
        <w:rPr>
          <w:rFonts w:eastAsia="標楷體"/>
          <w:spacing w:val="0"/>
          <w:szCs w:val="24"/>
        </w:rPr>
        <w:t>55</w:t>
      </w:r>
      <w:r w:rsidR="0078748D"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9B7C5A">
        <w:rPr>
          <w:rFonts w:eastAsia="標楷體" w:hint="eastAsia"/>
          <w:spacing w:val="0"/>
          <w:szCs w:val="24"/>
          <w:u w:val="single"/>
        </w:rPr>
        <w:t>4</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3-1-1</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3-1-2</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3-1-3</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33237D" w:rsidRPr="0023763D">
        <w:rPr>
          <w:rFonts w:eastAsia="標楷體"/>
          <w:szCs w:val="24"/>
        </w:rPr>
        <w:sym w:font="Wingdings" w:char="F0A8"/>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BC1C99" w:rsidRPr="008C3644" w:rsidRDefault="00BC1C99" w:rsidP="00BC1C99">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BC1C99" w:rsidRPr="008C3644" w:rsidRDefault="00BC1C99" w:rsidP="00BC1C99">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BC1C99" w:rsidRPr="008C3644" w:rsidRDefault="00BC1C99" w:rsidP="00BC1C99">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BC1C99" w:rsidRPr="008C3644" w:rsidRDefault="00BC1C99" w:rsidP="00BC1C99">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BC1C99" w:rsidRPr="008C3644" w:rsidRDefault="00BC1C99" w:rsidP="00BC1C99">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BC1C99" w:rsidRPr="008C3644" w:rsidRDefault="00583CCD" w:rsidP="00BC1C99">
      <w:pPr>
        <w:pStyle w:val="7"/>
        <w:ind w:left="840" w:firstLine="0"/>
        <w:jc w:val="both"/>
        <w:rPr>
          <w:rFonts w:eastAsia="標楷體"/>
          <w:strike/>
          <w:spacing w:val="0"/>
          <w:szCs w:val="24"/>
        </w:rPr>
      </w:pPr>
      <w:r>
        <w:rPr>
          <w:rFonts w:ascii="新細明體" w:eastAsia="新細明體" w:hAnsi="新細明體" w:hint="eastAsia"/>
          <w:spacing w:val="0"/>
          <w:szCs w:val="24"/>
        </w:rPr>
        <w:t>▓</w:t>
      </w:r>
      <w:r w:rsidR="00BC1C99" w:rsidRPr="008C3644">
        <w:rPr>
          <w:rFonts w:eastAsia="標楷體"/>
          <w:spacing w:val="0"/>
          <w:szCs w:val="24"/>
        </w:rPr>
        <w:t>(2)</w:t>
      </w:r>
      <w:r w:rsidR="00BC1C99" w:rsidRPr="008C3644">
        <w:rPr>
          <w:rFonts w:eastAsia="標楷體" w:hAnsi="標楷體" w:hint="eastAsia"/>
          <w:spacing w:val="0"/>
          <w:szCs w:val="24"/>
        </w:rPr>
        <w:t>不適用我國締結之條約或協定，外國廠商：</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不可參與投標。我國廠商所供應財物或勞務之原產地須屬我國者。</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00ED3D3A">
        <w:rPr>
          <w:rFonts w:eastAsia="標楷體"/>
          <w:szCs w:val="24"/>
        </w:rPr>
        <w:sym w:font="Wingdings 2" w:char="F0A2"/>
      </w:r>
      <w:r w:rsidRPr="008C3644">
        <w:rPr>
          <w:rFonts w:eastAsia="標楷體" w:hAnsi="標楷體" w:hint="eastAsia"/>
          <w:spacing w:val="0"/>
          <w:szCs w:val="24"/>
        </w:rPr>
        <w:t>不可參與投標。但我國廠商所供應財物或勞務之原產地得為下列外國者：</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ED3D3A">
        <w:rPr>
          <w:rFonts w:eastAsia="標楷體"/>
          <w:spacing w:val="0"/>
          <w:szCs w:val="24"/>
          <w:u w:val="single"/>
        </w:rPr>
        <w:t>_</w:t>
      </w:r>
      <w:r w:rsidR="00087DDC">
        <w:rPr>
          <w:rFonts w:eastAsia="標楷體" w:hint="eastAsia"/>
          <w:spacing w:val="0"/>
          <w:szCs w:val="24"/>
          <w:u w:val="single"/>
        </w:rPr>
        <w:t>全球</w:t>
      </w:r>
      <w:r w:rsidR="00ED3D3A" w:rsidRPr="00ED3D3A">
        <w:rPr>
          <w:rFonts w:eastAsia="標楷體" w:hint="eastAsia"/>
          <w:spacing w:val="0"/>
          <w:szCs w:val="24"/>
          <w:u w:val="single"/>
        </w:rPr>
        <w:t>地區</w:t>
      </w:r>
      <w:r w:rsidRPr="00ED3D3A">
        <w:rPr>
          <w:rFonts w:eastAsia="標楷體"/>
          <w:spacing w:val="0"/>
          <w:szCs w:val="24"/>
          <w:u w:val="single"/>
        </w:rPr>
        <w:t>__</w:t>
      </w:r>
      <w:r w:rsidRPr="008C3644">
        <w:rPr>
          <w:rFonts w:eastAsia="標楷體"/>
          <w:spacing w:val="0"/>
          <w:szCs w:val="24"/>
        </w:rPr>
        <w:t>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BC1C99" w:rsidRPr="008C3644" w:rsidRDefault="00ED3D3A" w:rsidP="00BC1C99">
      <w:pPr>
        <w:pStyle w:val="7"/>
        <w:ind w:leftChars="888" w:left="2368" w:hanging="237"/>
        <w:jc w:val="both"/>
        <w:rPr>
          <w:rFonts w:eastAsia="標楷體"/>
          <w:spacing w:val="0"/>
          <w:szCs w:val="24"/>
        </w:rPr>
      </w:pPr>
      <w:r>
        <w:rPr>
          <w:rFonts w:eastAsia="標楷體"/>
          <w:szCs w:val="24"/>
        </w:rPr>
        <w:sym w:font="Wingdings 2" w:char="F0A2"/>
      </w:r>
      <w:r w:rsidR="00BC1C99"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BC1C99" w:rsidRPr="008C3644" w:rsidRDefault="00BC1C99" w:rsidP="00BC1C99">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BC1C99" w:rsidRPr="008C3644" w:rsidRDefault="00BC1C99" w:rsidP="00BC1C99">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23763D" w:rsidRDefault="00BC1C99" w:rsidP="00BC1C99">
      <w:pPr>
        <w:pStyle w:val="7"/>
        <w:ind w:left="0" w:firstLine="0"/>
        <w:jc w:val="both"/>
        <w:textDirection w:val="lrTbV"/>
        <w:rPr>
          <w:rFonts w:eastAsia="標楷體"/>
          <w:spacing w:val="0"/>
          <w:szCs w:val="24"/>
        </w:rPr>
      </w:pPr>
      <w:r>
        <w:rPr>
          <w:rFonts w:eastAsia="標楷體" w:hAnsi="標楷體" w:hint="eastAsia"/>
          <w:szCs w:val="24"/>
        </w:rPr>
        <w:t xml:space="preserve">            </w:t>
      </w:r>
      <w:r w:rsidRPr="008C3644">
        <w:rPr>
          <w:rFonts w:eastAsia="標楷體" w:hAnsi="標楷體"/>
          <w:szCs w:val="24"/>
        </w:rPr>
        <w:sym w:font="Wingdings" w:char="F0A8"/>
      </w:r>
      <w:r w:rsidRPr="008C3644">
        <w:rPr>
          <w:rFonts w:eastAsia="標楷體" w:hAnsi="標楷體" w:hint="eastAsia"/>
          <w:szCs w:val="24"/>
        </w:rPr>
        <w:t>其他</w:t>
      </w:r>
      <w:r w:rsidRPr="008C3644">
        <w:rPr>
          <w:rFonts w:eastAsia="標楷體" w:hAnsi="標楷體"/>
          <w:szCs w:val="24"/>
        </w:rPr>
        <w:t>(</w:t>
      </w:r>
      <w:r w:rsidRPr="008C3644">
        <w:rPr>
          <w:rFonts w:eastAsia="標楷體" w:hAnsi="標楷體" w:hint="eastAsia"/>
          <w:szCs w:val="24"/>
        </w:rPr>
        <w:t>由招標機關敘明</w:t>
      </w:r>
      <w:r w:rsidRPr="008C3644">
        <w:rPr>
          <w:rFonts w:eastAsia="標楷體" w:hAnsi="標楷體"/>
          <w:szCs w:val="24"/>
        </w:rPr>
        <w:t>)</w:t>
      </w:r>
      <w:r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089">
      <w:pPr>
        <w:pStyle w:val="30"/>
        <w:numPr>
          <w:ilvl w:val="0"/>
          <w:numId w:val="5"/>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001A22F2">
        <w:rPr>
          <w:rFonts w:ascii="Times New Roman" w:eastAsia="標楷體" w:hint="eastAsia"/>
          <w:spacing w:val="0"/>
          <w:szCs w:val="24"/>
          <w:u w:val="single"/>
        </w:rPr>
        <w:t>1</w:t>
      </w:r>
      <w:r w:rsidR="00FD2296">
        <w:rPr>
          <w:rFonts w:ascii="Times New Roman" w:eastAsia="標楷體" w:hint="eastAsia"/>
          <w:spacing w:val="0"/>
          <w:szCs w:val="24"/>
          <w:u w:val="single"/>
        </w:rPr>
        <w:t>1</w:t>
      </w:r>
      <w:r w:rsidRPr="0023763D">
        <w:rPr>
          <w:rFonts w:ascii="Times New Roman" w:eastAsia="標楷體"/>
          <w:spacing w:val="0"/>
          <w:szCs w:val="24"/>
        </w:rPr>
        <w:t>月</w:t>
      </w:r>
      <w:r w:rsidR="007A6E38">
        <w:rPr>
          <w:rFonts w:ascii="Times New Roman" w:eastAsia="標楷體" w:hint="eastAsia"/>
          <w:spacing w:val="0"/>
          <w:szCs w:val="24"/>
          <w:u w:val="single"/>
        </w:rPr>
        <w:t>21</w:t>
      </w:r>
      <w:r w:rsidRPr="0023763D">
        <w:rPr>
          <w:rFonts w:ascii="Times New Roman" w:eastAsia="標楷體"/>
          <w:spacing w:val="0"/>
          <w:szCs w:val="24"/>
        </w:rPr>
        <w:t>日</w:t>
      </w:r>
      <w:r w:rsidR="00E677F5" w:rsidRPr="00E677F5">
        <w:rPr>
          <w:rFonts w:ascii="Times New Roman" w:eastAsia="標楷體" w:hint="eastAsia"/>
          <w:spacing w:val="0"/>
          <w:szCs w:val="24"/>
          <w:u w:val="single"/>
        </w:rPr>
        <w:t>1</w:t>
      </w:r>
      <w:r w:rsidR="001A22F2">
        <w:rPr>
          <w:rFonts w:ascii="Times New Roman" w:eastAsia="標楷體" w:hint="eastAsia"/>
          <w:spacing w:val="0"/>
          <w:szCs w:val="24"/>
          <w:u w:val="single"/>
        </w:rPr>
        <w:t>0</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sidR="003932EF">
        <w:rPr>
          <w:rFonts w:eastAsia="標楷體" w:hint="eastAsia"/>
          <w:spacing w:val="0"/>
          <w:szCs w:val="24"/>
          <w:u w:val="single"/>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FD2296">
        <w:rPr>
          <w:rFonts w:ascii="新細明體" w:eastAsia="新細明體" w:hAnsi="新細明體" w:hint="eastAsia"/>
          <w:spacing w:val="0"/>
          <w:szCs w:val="24"/>
        </w:rPr>
        <w:t>■</w:t>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w:t>
      </w:r>
      <w:r w:rsidR="00FD2296">
        <w:rPr>
          <w:rFonts w:eastAsia="標楷體" w:hint="eastAsia"/>
          <w:spacing w:val="0"/>
          <w:szCs w:val="24"/>
        </w:rPr>
        <w:t>5</w:t>
      </w:r>
      <w:r w:rsidRPr="0023763D">
        <w:rPr>
          <w:rFonts w:eastAsia="標楷體"/>
          <w:spacing w:val="0"/>
          <w:szCs w:val="24"/>
        </w:rPr>
        <w:t>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r w:rsidR="00FD2296" w:rsidRPr="00A27F37">
        <w:rPr>
          <w:rFonts w:ascii="標楷體" w:eastAsia="標楷體" w:hAnsi="標楷體" w:hint="eastAsia"/>
        </w:rPr>
        <w:t>較招標文件規定之報價</w:t>
      </w:r>
      <w:r w:rsidR="00FD2296" w:rsidRPr="00A27F37">
        <w:rPr>
          <w:rFonts w:ascii="標楷體" w:eastAsia="標楷體" w:hAnsi="標楷體" w:hint="eastAsia"/>
          <w:bCs/>
        </w:rPr>
        <w:t>有效期</w:t>
      </w:r>
      <w:r w:rsidR="00FD2296" w:rsidRPr="00A27F37">
        <w:rPr>
          <w:rFonts w:ascii="標楷體" w:eastAsia="標楷體" w:hAnsi="標楷體" w:hint="eastAsia"/>
        </w:rPr>
        <w:t>長三十日</w:t>
      </w:r>
      <w:r w:rsidR="00FD2296"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00E7442C" w:rsidRPr="0023763D">
        <w:rPr>
          <w:rFonts w:eastAsia="標楷體"/>
          <w:spacing w:val="0"/>
          <w:szCs w:val="24"/>
        </w:rPr>
        <w:t xml:space="preserve"> </w:t>
      </w:r>
      <w:r w:rsidRPr="0023763D">
        <w:rPr>
          <w:rFonts w:eastAsia="標楷體"/>
          <w:spacing w:val="0"/>
          <w:szCs w:val="24"/>
        </w:rPr>
        <w:t>(</w:t>
      </w:r>
      <w:r w:rsidRPr="0023763D">
        <w:rPr>
          <w:rFonts w:eastAsia="標楷體"/>
          <w:spacing w:val="0"/>
          <w:szCs w:val="24"/>
        </w:rPr>
        <w:t>無押標金者不適用</w:t>
      </w:r>
      <w:r w:rsidRPr="0023763D">
        <w:rPr>
          <w:rFonts w:eastAsia="標楷體"/>
          <w:spacing w:val="0"/>
          <w:szCs w:val="24"/>
        </w:rPr>
        <w:t>)</w:t>
      </w:r>
      <w:r w:rsidR="00FD2296" w:rsidRPr="00FD2296">
        <w:rPr>
          <w:rFonts w:ascii="標楷體" w:eastAsia="標楷體" w:hAnsi="標楷體"/>
          <w:szCs w:val="24"/>
        </w:rPr>
        <w:t xml:space="preserve"> </w:t>
      </w:r>
      <w:r w:rsidR="00FD2296" w:rsidRPr="00482B81">
        <w:rPr>
          <w:rFonts w:ascii="標楷體" w:eastAsia="標楷體" w:hAnsi="標楷體"/>
          <w:szCs w:val="24"/>
        </w:rPr>
        <w:t>截止投標期限前繳納</w:t>
      </w:r>
      <w:r w:rsidR="00FD2296"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r w:rsidR="00FD2296"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FD2296" w:rsidRPr="0023763D">
        <w:rPr>
          <w:rFonts w:eastAsia="標楷體"/>
          <w:szCs w:val="24"/>
        </w:rPr>
        <w:sym w:font="Wingdings" w:char="F0A8"/>
      </w:r>
      <w:r w:rsidR="00867AFF" w:rsidRPr="0083034A">
        <w:rPr>
          <w:rFonts w:eastAsia="標楷體"/>
          <w:spacing w:val="0"/>
          <w:szCs w:val="24"/>
        </w:rPr>
        <w:t xml:space="preserve"> </w:t>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00867AFF"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FD2296">
        <w:rPr>
          <w:rFonts w:ascii="新細明體" w:eastAsia="新細明體" w:hAnsi="新細明體" w:hint="eastAsia"/>
          <w:spacing w:val="0"/>
          <w:szCs w:val="24"/>
        </w:rPr>
        <w:t>■</w:t>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00FD2296">
        <w:rPr>
          <w:rFonts w:eastAsia="標楷體" w:hint="eastAsia"/>
          <w:spacing w:val="0"/>
          <w:szCs w:val="24"/>
          <w:u w:val="single"/>
        </w:rPr>
        <w:t>5%</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FD2296" w:rsidRPr="00524BC1" w:rsidRDefault="0078748D" w:rsidP="00FD2296">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00FD2296" w:rsidRPr="00524BC1">
        <w:rPr>
          <w:rFonts w:eastAsia="標楷體" w:hAnsi="標楷體" w:hint="eastAsia"/>
          <w:kern w:val="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FD2296" w:rsidRPr="00524BC1">
        <w:rPr>
          <w:rFonts w:eastAsia="標楷體" w:hAnsi="標楷體" w:hint="eastAsia"/>
          <w:kern w:val="0"/>
        </w:rPr>
        <w:t>90</w:t>
      </w:r>
      <w:r w:rsidR="00FD2296" w:rsidRPr="00524BC1">
        <w:rPr>
          <w:rFonts w:eastAsia="標楷體" w:hAnsi="標楷體" w:hint="eastAsia"/>
          <w:kern w:val="0"/>
        </w:rPr>
        <w:t>日。廠商未能依契約規定期限履約或因可歸責於廠商之事由致無法於有效期限內完成驗收者，履約保證金之有效期應按遲延期間延長之。</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FD2296" w:rsidRPr="00524BC1">
        <w:rPr>
          <w:rFonts w:ascii="標楷體" w:eastAsia="標楷體" w:hAnsi="標楷體" w:hint="eastAsia"/>
        </w:rPr>
        <w:t>決標翌日起14日內繳納</w:t>
      </w:r>
      <w:r w:rsidR="00FD2296" w:rsidRPr="0023763D">
        <w:rPr>
          <w:rFonts w:eastAsia="標楷體"/>
          <w:spacing w:val="0"/>
          <w:szCs w:val="24"/>
        </w:rPr>
        <w:t>。</w:t>
      </w:r>
      <w:r w:rsidR="00867AFF" w:rsidRPr="0083034A">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00FD2296" w:rsidRPr="0023763D">
        <w:rPr>
          <w:rFonts w:eastAsia="標楷體"/>
          <w:szCs w:val="24"/>
        </w:rPr>
        <w:sym w:font="Wingdings" w:char="F0A8"/>
      </w:r>
      <w:r w:rsidR="00FD2296" w:rsidRPr="0023763D">
        <w:rPr>
          <w:rFonts w:eastAsia="標楷體"/>
          <w:spacing w:val="0"/>
          <w:szCs w:val="24"/>
        </w:rPr>
        <w:t xml:space="preserve"> </w:t>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973B6E" w:rsidRDefault="0078748D" w:rsidP="00B933A0">
      <w:pPr>
        <w:pStyle w:val="7"/>
        <w:numPr>
          <w:ilvl w:val="0"/>
          <w:numId w:val="1"/>
        </w:numPr>
        <w:spacing w:line="350" w:lineRule="exact"/>
        <w:ind w:left="1134" w:hanging="1134"/>
        <w:jc w:val="both"/>
        <w:textDirection w:val="lrTbV"/>
        <w:rPr>
          <w:rFonts w:eastAsia="標楷體"/>
          <w:spacing w:val="0"/>
          <w:szCs w:val="24"/>
        </w:rPr>
      </w:pPr>
      <w:r w:rsidRPr="00867AFF">
        <w:rPr>
          <w:rFonts w:eastAsia="標楷體"/>
          <w:spacing w:val="0"/>
          <w:szCs w:val="24"/>
        </w:rPr>
        <w:t>保固保證金金額</w:t>
      </w:r>
      <w:r w:rsidRPr="00867AFF">
        <w:rPr>
          <w:rFonts w:eastAsia="標楷體"/>
          <w:spacing w:val="0"/>
          <w:szCs w:val="24"/>
        </w:rPr>
        <w:t>(</w:t>
      </w:r>
      <w:r w:rsidRPr="00867AFF">
        <w:rPr>
          <w:rFonts w:eastAsia="標楷體"/>
          <w:spacing w:val="0"/>
          <w:szCs w:val="24"/>
        </w:rPr>
        <w:t>無者免填</w:t>
      </w:r>
      <w:r w:rsidRPr="00867AFF">
        <w:rPr>
          <w:rFonts w:eastAsia="標楷體"/>
          <w:spacing w:val="0"/>
          <w:szCs w:val="24"/>
        </w:rPr>
        <w:t>)</w:t>
      </w:r>
      <w:r w:rsidRPr="00867AFF">
        <w:rPr>
          <w:rFonts w:eastAsia="標楷體"/>
          <w:spacing w:val="0"/>
          <w:szCs w:val="24"/>
        </w:rPr>
        <w:t>：</w:t>
      </w:r>
    </w:p>
    <w:p w:rsidR="00867AFF" w:rsidRDefault="0078748D" w:rsidP="00B933A0">
      <w:pPr>
        <w:pStyle w:val="7"/>
        <w:numPr>
          <w:ilvl w:val="0"/>
          <w:numId w:val="1"/>
        </w:numPr>
        <w:spacing w:line="350" w:lineRule="exact"/>
        <w:ind w:left="1134" w:hanging="1134"/>
        <w:jc w:val="both"/>
        <w:textDirection w:val="lrTbV"/>
        <w:rPr>
          <w:rFonts w:eastAsia="標楷體"/>
          <w:spacing w:val="0"/>
          <w:szCs w:val="24"/>
        </w:rPr>
      </w:pPr>
      <w:r w:rsidRPr="00867AFF">
        <w:rPr>
          <w:rFonts w:eastAsia="標楷體"/>
          <w:spacing w:val="0"/>
          <w:szCs w:val="24"/>
        </w:rPr>
        <w:t>保固保證金有效期</w:t>
      </w:r>
      <w:r w:rsidRPr="00867AFF">
        <w:rPr>
          <w:rFonts w:eastAsia="標楷體"/>
          <w:spacing w:val="0"/>
          <w:szCs w:val="24"/>
        </w:rPr>
        <w:t>(</w:t>
      </w:r>
      <w:r w:rsidRPr="00867AFF">
        <w:rPr>
          <w:rFonts w:eastAsia="標楷體"/>
          <w:spacing w:val="0"/>
          <w:szCs w:val="24"/>
        </w:rPr>
        <w:t>無保固保證金者免填</w:t>
      </w:r>
      <w:r w:rsidRPr="00867AFF">
        <w:rPr>
          <w:rFonts w:eastAsia="標楷體"/>
          <w:spacing w:val="0"/>
          <w:szCs w:val="24"/>
        </w:rPr>
        <w:t>)</w:t>
      </w:r>
      <w:r w:rsidRPr="00867AFF">
        <w:rPr>
          <w:rFonts w:eastAsia="標楷體"/>
          <w:spacing w:val="0"/>
          <w:szCs w:val="24"/>
        </w:rPr>
        <w:t>：</w:t>
      </w:r>
    </w:p>
    <w:p w:rsidR="0078748D" w:rsidRPr="00867AFF" w:rsidRDefault="0078748D" w:rsidP="00B933A0">
      <w:pPr>
        <w:pStyle w:val="7"/>
        <w:numPr>
          <w:ilvl w:val="0"/>
          <w:numId w:val="1"/>
        </w:numPr>
        <w:spacing w:line="350" w:lineRule="exact"/>
        <w:ind w:left="1134" w:hanging="1134"/>
        <w:jc w:val="both"/>
        <w:textDirection w:val="lrTbV"/>
        <w:rPr>
          <w:rFonts w:eastAsia="標楷體"/>
          <w:spacing w:val="0"/>
          <w:szCs w:val="24"/>
        </w:rPr>
      </w:pPr>
      <w:r w:rsidRPr="00867AFF">
        <w:rPr>
          <w:rFonts w:eastAsia="標楷體"/>
          <w:spacing w:val="0"/>
          <w:szCs w:val="24"/>
        </w:rPr>
        <w:t>保固保證金繳納期限</w:t>
      </w:r>
      <w:r w:rsidRPr="00867AFF">
        <w:rPr>
          <w:rFonts w:eastAsia="標楷體"/>
          <w:spacing w:val="0"/>
          <w:szCs w:val="24"/>
        </w:rPr>
        <w:t>(</w:t>
      </w:r>
      <w:r w:rsidRPr="00867AFF">
        <w:rPr>
          <w:rFonts w:eastAsia="標楷體"/>
          <w:spacing w:val="0"/>
          <w:szCs w:val="24"/>
        </w:rPr>
        <w:t>無保固保證金者免填</w:t>
      </w:r>
      <w:r w:rsidRPr="00867AFF">
        <w:rPr>
          <w:rFonts w:eastAsia="標楷體"/>
          <w:spacing w:val="0"/>
          <w:szCs w:val="24"/>
        </w:rPr>
        <w:t>)</w:t>
      </w:r>
      <w:r w:rsidRPr="00867AFF">
        <w:rPr>
          <w:rFonts w:eastAsia="標楷體"/>
          <w:spacing w:val="0"/>
          <w:szCs w:val="24"/>
        </w:rPr>
        <w:t>：</w:t>
      </w:r>
      <w:r w:rsidR="00D355A4" w:rsidRPr="00867AFF">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3E099C">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003E099C"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1A22F2" w:rsidP="0078748D">
      <w:pPr>
        <w:pStyle w:val="7"/>
        <w:ind w:left="1803" w:hanging="363"/>
        <w:jc w:val="both"/>
        <w:textDirection w:val="lrTbV"/>
        <w:rPr>
          <w:rFonts w:eastAsia="標楷體"/>
          <w:spacing w:val="0"/>
          <w:szCs w:val="24"/>
        </w:rPr>
      </w:pPr>
      <w:r>
        <w:rPr>
          <w:rFonts w:eastAsia="標楷體"/>
          <w:szCs w:val="24"/>
        </w:rPr>
        <w:sym w:font="Wingdings 2" w:char="F0A2"/>
      </w:r>
      <w:r w:rsidR="00F844E2" w:rsidRPr="0023763D">
        <w:rPr>
          <w:rFonts w:eastAsia="標楷體"/>
          <w:spacing w:val="0"/>
          <w:szCs w:val="24"/>
        </w:rPr>
        <w:t xml:space="preserve"> </w:t>
      </w:r>
      <w:r w:rsidR="0078748D" w:rsidRPr="0023763D">
        <w:rPr>
          <w:rFonts w:eastAsia="標楷體"/>
          <w:spacing w:val="0"/>
          <w:szCs w:val="24"/>
        </w:rPr>
        <w:t>(2-1)</w:t>
      </w:r>
      <w:r w:rsidR="0078748D" w:rsidRPr="0023763D">
        <w:rPr>
          <w:rFonts w:eastAsia="標楷體"/>
          <w:spacing w:val="0"/>
          <w:szCs w:val="24"/>
        </w:rPr>
        <w:t>總價決標。</w:t>
      </w:r>
    </w:p>
    <w:p w:rsidR="0078748D" w:rsidRPr="0023763D" w:rsidRDefault="001A22F2"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00F844E2" w:rsidRPr="0023763D">
        <w:rPr>
          <w:rFonts w:eastAsia="標楷體"/>
          <w:spacing w:val="0"/>
          <w:szCs w:val="24"/>
        </w:rPr>
        <w:t xml:space="preserve"> </w:t>
      </w:r>
      <w:r w:rsidR="0078748D" w:rsidRPr="0023763D">
        <w:rPr>
          <w:rFonts w:eastAsia="標楷體"/>
          <w:spacing w:val="0"/>
          <w:szCs w:val="24"/>
        </w:rPr>
        <w:t>(2-2)</w:t>
      </w:r>
      <w:r w:rsidR="0078748D"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7042CF">
        <w:rPr>
          <w:rFonts w:eastAsia="標楷體" w:hint="eastAsia"/>
          <w:spacing w:val="0"/>
          <w:szCs w:val="24"/>
        </w:rPr>
        <w:t>1</w:t>
      </w:r>
      <w:r w:rsidR="003F66A9" w:rsidRPr="003E0315">
        <w:rPr>
          <w:rFonts w:eastAsia="標楷體" w:hint="eastAsia"/>
          <w:spacing w:val="0"/>
          <w:szCs w:val="24"/>
        </w:rPr>
        <w:t>期納稅證明及符合招標須知內之資格者皆可參與投標。</w:t>
      </w:r>
      <w:r w:rsidR="00EF3A4C" w:rsidRPr="00884C3A">
        <w:rPr>
          <w:rFonts w:eastAsia="標楷體" w:hint="eastAsia"/>
          <w:spacing w:val="0"/>
          <w:szCs w:val="24"/>
        </w:rPr>
        <w:t>營業稅納稅證明：為營業稅繳款書收據聯或主管稽徵機關核章之最近</w:t>
      </w:r>
      <w:r w:rsidR="00EF3A4C" w:rsidRPr="00884C3A">
        <w:rPr>
          <w:rFonts w:eastAsia="標楷體" w:hint="eastAsia"/>
          <w:spacing w:val="0"/>
          <w:szCs w:val="24"/>
        </w:rPr>
        <w:t>1</w:t>
      </w:r>
      <w:r w:rsidR="00EF3A4C" w:rsidRPr="00884C3A">
        <w:rPr>
          <w:rFonts w:eastAsia="標楷體" w:hint="eastAsia"/>
          <w:spacing w:val="0"/>
          <w:szCs w:val="24"/>
        </w:rPr>
        <w:t>期營業人銷售額與稅額申報書收執聯。廠商不及提出最近</w:t>
      </w:r>
      <w:r w:rsidR="00EF3A4C" w:rsidRPr="00884C3A">
        <w:rPr>
          <w:rFonts w:eastAsia="標楷體" w:hint="eastAsia"/>
          <w:spacing w:val="0"/>
          <w:szCs w:val="24"/>
        </w:rPr>
        <w:t>1</w:t>
      </w:r>
      <w:r w:rsidR="00EF3A4C" w:rsidRPr="00884C3A">
        <w:rPr>
          <w:rFonts w:eastAsia="標楷體" w:hint="eastAsia"/>
          <w:spacing w:val="0"/>
          <w:szCs w:val="24"/>
        </w:rPr>
        <w:t>期證明者，得以前</w:t>
      </w:r>
      <w:r w:rsidR="00EF3A4C" w:rsidRPr="00884C3A">
        <w:rPr>
          <w:rFonts w:eastAsia="標楷體" w:hint="eastAsia"/>
          <w:spacing w:val="0"/>
          <w:szCs w:val="24"/>
        </w:rPr>
        <w:t>1</w:t>
      </w:r>
      <w:r w:rsidR="00EF3A4C" w:rsidRPr="00884C3A">
        <w:rPr>
          <w:rFonts w:eastAsia="標楷體" w:hint="eastAsia"/>
          <w:spacing w:val="0"/>
          <w:szCs w:val="24"/>
        </w:rPr>
        <w:t>期之納稅證明代之。新設立且未屆第</w:t>
      </w:r>
      <w:r w:rsidR="00EF3A4C" w:rsidRPr="00884C3A">
        <w:rPr>
          <w:rFonts w:eastAsia="標楷體" w:hint="eastAsia"/>
          <w:spacing w:val="0"/>
          <w:szCs w:val="24"/>
        </w:rPr>
        <w:t>1</w:t>
      </w:r>
      <w:r w:rsidR="00EF3A4C" w:rsidRPr="00884C3A">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00EF3A4C" w:rsidRPr="00CB2726">
        <w:rPr>
          <w:rFonts w:ascii="標楷體" w:eastAsia="標楷體" w:hAnsi="標楷體" w:cs="標楷體" w:hint="eastAsia"/>
          <w:kern w:val="52"/>
        </w:rPr>
        <w:t>。</w:t>
      </w:r>
      <w:r w:rsidRPr="0023763D">
        <w:rPr>
          <w:rFonts w:eastAsia="標楷體"/>
          <w:spacing w:val="0"/>
          <w:szCs w:val="24"/>
        </w:rPr>
        <w:t xml:space="preserve">                                            </w:t>
      </w:r>
    </w:p>
    <w:p w:rsidR="0078748D" w:rsidRPr="00846317" w:rsidRDefault="0078748D" w:rsidP="0078748D">
      <w:pPr>
        <w:pStyle w:val="7"/>
        <w:ind w:left="1234" w:hangingChars="514" w:hanging="1234"/>
        <w:jc w:val="both"/>
        <w:textDirection w:val="lrTbV"/>
        <w:rPr>
          <w:rFonts w:eastAsia="標楷體"/>
          <w:spacing w:val="0"/>
          <w:szCs w:val="24"/>
        </w:rPr>
      </w:pPr>
      <w:r w:rsidRPr="0023763D">
        <w:rPr>
          <w:rFonts w:eastAsia="標楷體"/>
          <w:spacing w:val="0"/>
          <w:szCs w:val="24"/>
        </w:rPr>
        <w:t xml:space="preserve">　　　　</w:t>
      </w:r>
      <w:r w:rsidRPr="00846317">
        <w:rPr>
          <w:rFonts w:eastAsia="標楷體"/>
          <w:szCs w:val="24"/>
        </w:rPr>
        <w:sym w:font="Wingdings" w:char="F0A8"/>
      </w:r>
      <w:r w:rsidRPr="00846317">
        <w:rPr>
          <w:rFonts w:eastAsia="標楷體"/>
          <w:spacing w:val="0"/>
          <w:szCs w:val="24"/>
        </w:rPr>
        <w:t>本採購屬經濟部投資審議委員會公告「具敏感性或國安</w:t>
      </w:r>
      <w:r w:rsidRPr="00846317">
        <w:rPr>
          <w:rFonts w:eastAsia="標楷體"/>
          <w:spacing w:val="0"/>
          <w:szCs w:val="24"/>
        </w:rPr>
        <w:t>(</w:t>
      </w:r>
      <w:r w:rsidRPr="00846317">
        <w:rPr>
          <w:rFonts w:eastAsia="標楷體"/>
          <w:spacing w:val="0"/>
          <w:szCs w:val="24"/>
        </w:rPr>
        <w:t>含資安</w:t>
      </w:r>
      <w:r w:rsidRPr="00846317">
        <w:rPr>
          <w:rFonts w:eastAsia="標楷體"/>
          <w:spacing w:val="0"/>
          <w:szCs w:val="24"/>
        </w:rPr>
        <w:t>)</w:t>
      </w:r>
      <w:r w:rsidRPr="00846317">
        <w:rPr>
          <w:rFonts w:eastAsia="標楷體"/>
          <w:spacing w:val="0"/>
          <w:szCs w:val="24"/>
        </w:rPr>
        <w:t>疑慮之業務範疇」之資訊服務採購，廠商不得為經濟部投資審議委員會公告之陸資資訊服務業者。</w:t>
      </w:r>
      <w:r w:rsidRPr="00846317">
        <w:rPr>
          <w:rFonts w:eastAsia="標楷體"/>
          <w:spacing w:val="0"/>
          <w:szCs w:val="24"/>
        </w:rPr>
        <w:t>(</w:t>
      </w:r>
      <w:r w:rsidRPr="00846317">
        <w:rPr>
          <w:rFonts w:eastAsia="標楷體"/>
          <w:spacing w:val="0"/>
          <w:szCs w:val="24"/>
        </w:rPr>
        <w:t>上開業務範疇及陸資資訊服務業清單公開於經濟部投資審議委員會網站</w:t>
      </w:r>
      <w:hyperlink r:id="rId9" w:history="1">
        <w:r w:rsidRPr="00846317">
          <w:rPr>
            <w:rFonts w:eastAsia="標楷體"/>
            <w:spacing w:val="0"/>
            <w:szCs w:val="24"/>
          </w:rPr>
          <w:t>http://www.moeaic.gov.tw/</w:t>
        </w:r>
      </w:hyperlink>
      <w:r w:rsidRPr="00846317">
        <w:rPr>
          <w:rFonts w:eastAsia="標楷體"/>
          <w:spacing w:val="0"/>
          <w:szCs w:val="24"/>
        </w:rPr>
        <w:t>)</w:t>
      </w:r>
      <w:r w:rsidRPr="00846317">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973B6E">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973B6E">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973B6E">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973B6E">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973B6E">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973B6E">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973B6E">
      <w:pPr>
        <w:pStyle w:val="7"/>
        <w:ind w:leftChars="500" w:left="1200" w:firstLine="0"/>
        <w:jc w:val="both"/>
        <w:textDirection w:val="lrTbV"/>
        <w:rPr>
          <w:rFonts w:eastAsia="標楷體"/>
          <w:spacing w:val="0"/>
          <w:szCs w:val="24"/>
        </w:rPr>
      </w:pPr>
    </w:p>
    <w:p w:rsidR="0078748D" w:rsidRPr="0023763D" w:rsidRDefault="0078748D" w:rsidP="00973B6E">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973B6E">
      <w:pPr>
        <w:pStyle w:val="7"/>
        <w:spacing w:line="400" w:lineRule="exact"/>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973B6E">
      <w:pPr>
        <w:pStyle w:val="7"/>
        <w:spacing w:line="400" w:lineRule="exact"/>
        <w:ind w:left="1588" w:hanging="158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00BC1C99">
        <w:rPr>
          <w:rFonts w:eastAsia="標楷體" w:hint="eastAsia"/>
          <w:spacing w:val="0"/>
          <w:szCs w:val="24"/>
        </w:rPr>
        <w:t xml:space="preserve"> </w:t>
      </w:r>
      <w:r w:rsidRPr="0023763D">
        <w:rPr>
          <w:rFonts w:eastAsia="標楷體"/>
          <w:spacing w:val="0"/>
          <w:szCs w:val="24"/>
        </w:rPr>
        <w:t>能、效益、標準或特性等相關資料，以供審查。</w:t>
      </w:r>
    </w:p>
    <w:p w:rsidR="0078748D" w:rsidRPr="0023763D" w:rsidRDefault="0078748D" w:rsidP="00973B6E">
      <w:pPr>
        <w:pStyle w:val="7"/>
        <w:spacing w:line="400" w:lineRule="exact"/>
        <w:ind w:left="1588" w:hanging="158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00486AEB">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86AEB">
        <w:rPr>
          <w:rFonts w:eastAsia="標楷體" w:hint="eastAsia"/>
          <w:spacing w:val="0"/>
          <w:szCs w:val="24"/>
        </w:rPr>
        <w:t>本院</w:t>
      </w:r>
    </w:p>
    <w:p w:rsidR="0007534B"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00486AEB"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973B6E">
      <w:pPr>
        <w:spacing w:line="40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973B6E">
      <w:pPr>
        <w:spacing w:line="40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973B6E">
      <w:pPr>
        <w:spacing w:line="40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973B6E">
      <w:pPr>
        <w:pStyle w:val="a5"/>
        <w:spacing w:line="40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973B6E">
      <w:pPr>
        <w:pStyle w:val="7"/>
        <w:spacing w:line="400" w:lineRule="exact"/>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973B6E">
      <w:pPr>
        <w:pStyle w:val="7"/>
        <w:spacing w:line="400" w:lineRule="exact"/>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973B6E">
      <w:pPr>
        <w:pStyle w:val="7"/>
        <w:spacing w:line="400" w:lineRule="exact"/>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973B6E">
      <w:pPr>
        <w:pStyle w:val="7"/>
        <w:spacing w:line="400" w:lineRule="exact"/>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973B6E">
      <w:pPr>
        <w:pStyle w:val="7"/>
        <w:spacing w:line="400" w:lineRule="exact"/>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1A22F2">
        <w:rPr>
          <w:rFonts w:eastAsia="標楷體" w:hint="eastAsia"/>
          <w:szCs w:val="24"/>
        </w:rPr>
        <w:t>1</w:t>
      </w:r>
      <w:r w:rsidR="00FD2296">
        <w:rPr>
          <w:rFonts w:eastAsia="標楷體" w:hint="eastAsia"/>
          <w:szCs w:val="24"/>
        </w:rPr>
        <w:t>1</w:t>
      </w:r>
      <w:r w:rsidRPr="0023763D">
        <w:rPr>
          <w:rFonts w:eastAsia="標楷體"/>
          <w:szCs w:val="24"/>
        </w:rPr>
        <w:t>月</w:t>
      </w:r>
      <w:r w:rsidR="007A6E38">
        <w:rPr>
          <w:rFonts w:eastAsia="標楷體" w:hint="eastAsia"/>
          <w:szCs w:val="24"/>
        </w:rPr>
        <w:t>20</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w:t>
      </w:r>
      <w:bookmarkStart w:id="0" w:name="_GoBack"/>
      <w:bookmarkEnd w:id="0"/>
      <w:r w:rsidRPr="0023763D">
        <w:rPr>
          <w:rFonts w:eastAsia="標楷體"/>
          <w:spacing w:val="0"/>
          <w:szCs w:val="24"/>
        </w:rPr>
        <w:t>優惠、適用或準用最有利標評選作業或優先採購環保產品等方式辦理者，應注意依相關法規，將應於招標文件載明事項納入。）：</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w:t>
      </w:r>
      <w:r w:rsidR="00CE1F1B" w:rsidRPr="0051566A">
        <w:rPr>
          <w:rFonts w:ascii="標楷體" w:eastAsia="標楷體" w:hAnsi="標楷體" w:hint="eastAsia"/>
          <w:spacing w:val="0"/>
          <w:szCs w:val="24"/>
        </w:rPr>
        <w:t>檢舉信箱：</w:t>
      </w:r>
      <w:r w:rsidR="00CE1F1B" w:rsidRPr="00495630">
        <w:rPr>
          <w:rFonts w:ascii="標楷體" w:eastAsia="標楷體" w:hAnsi="標楷體" w:hint="eastAsia"/>
          <w:spacing w:val="0"/>
          <w:szCs w:val="24"/>
        </w:rPr>
        <w:t>10099國史館郵局第153號信箱</w:t>
      </w:r>
      <w:r w:rsidR="00627438" w:rsidRPr="00524BC1">
        <w:rPr>
          <w:rFonts w:eastAsia="標楷體"/>
          <w:spacing w:val="0"/>
          <w:szCs w:val="24"/>
        </w:rPr>
        <w:t>；傳真檢舉專線：（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ED6955" w:rsidRDefault="00ED6955" w:rsidP="00024E33">
      <w:pPr>
        <w:ind w:firstLineChars="50" w:firstLine="180"/>
        <w:jc w:val="center"/>
        <w:rPr>
          <w:rFonts w:ascii="標楷體" w:eastAsia="標楷體" w:hAnsi="標楷體"/>
          <w:sz w:val="36"/>
          <w:szCs w:val="36"/>
        </w:rPr>
      </w:pPr>
    </w:p>
    <w:p w:rsidR="00583CCD" w:rsidRDefault="00583CCD"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A61A79"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33237D" w:rsidP="00B9085A">
            <w:pPr>
              <w:spacing w:line="360" w:lineRule="auto"/>
              <w:rPr>
                <w:rFonts w:ascii="標楷體" w:eastAsia="標楷體"/>
                <w:b/>
                <w:sz w:val="40"/>
                <w:szCs w:val="40"/>
              </w:rPr>
            </w:pPr>
            <w:r>
              <w:rPr>
                <w:rFonts w:ascii="標楷體" w:eastAsia="標楷體" w:hint="eastAsia"/>
                <w:b/>
                <w:sz w:val="40"/>
                <w:szCs w:val="40"/>
              </w:rPr>
              <w:t>10610235</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AF0B08" w:rsidRDefault="00FF5C3A" w:rsidP="009B242C">
            <w:pPr>
              <w:spacing w:line="480" w:lineRule="exact"/>
              <w:rPr>
                <w:rFonts w:ascii="標楷體" w:eastAsia="標楷體"/>
                <w:b/>
                <w:sz w:val="40"/>
                <w:szCs w:val="40"/>
              </w:rPr>
            </w:pPr>
            <w:r>
              <w:rPr>
                <w:rFonts w:ascii="標楷體" w:eastAsia="標楷體" w:hAnsi="標楷體" w:hint="eastAsia"/>
                <w:b/>
                <w:sz w:val="40"/>
                <w:szCs w:val="40"/>
              </w:rPr>
              <w:t xml:space="preserve">國外市場分析報告 </w:t>
            </w:r>
            <w:r w:rsidR="001A22F2" w:rsidRPr="001A22F2">
              <w:rPr>
                <w:rFonts w:ascii="標楷體" w:eastAsia="標楷體" w:hAnsi="標楷體" w:hint="eastAsia"/>
                <w:b/>
                <w:sz w:val="40"/>
                <w:szCs w:val="40"/>
              </w:rPr>
              <w:t>財物採購</w:t>
            </w:r>
            <w:r w:rsidR="00D627E5" w:rsidRPr="001A22F2">
              <w:rPr>
                <w:rFonts w:ascii="標楷體" w:eastAsia="標楷體" w:hAnsi="標楷體" w:hint="eastAsia"/>
                <w:b/>
                <w:sz w:val="40"/>
                <w:szCs w:val="40"/>
              </w:rPr>
              <w:t xml:space="preserve"> </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C027CE" w:rsidRPr="006F7D96" w:rsidRDefault="001A22F2" w:rsidP="001A22F2">
      <w:pPr>
        <w:spacing w:line="480" w:lineRule="exact"/>
        <w:jc w:val="center"/>
        <w:rPr>
          <w:rFonts w:ascii="標楷體" w:eastAsia="標楷體" w:hAnsi="標楷體"/>
          <w:sz w:val="20"/>
          <w:szCs w:val="20"/>
        </w:rPr>
      </w:pPr>
      <w:r>
        <w:rPr>
          <w:rFonts w:ascii="標楷體" w:eastAsia="標楷體" w:hAnsi="標楷體" w:hint="eastAsia"/>
          <w:b/>
        </w:rPr>
        <w:t xml:space="preserve">             </w:t>
      </w:r>
      <w:r w:rsidR="00C027CE" w:rsidRPr="001A22F2">
        <w:rPr>
          <w:rFonts w:ascii="標楷體" w:eastAsia="標楷體" w:hAnsi="標楷體" w:hint="eastAsia"/>
          <w:b/>
        </w:rPr>
        <w:t xml:space="preserve"> </w:t>
      </w:r>
      <w:r w:rsidR="00FF5C3A">
        <w:rPr>
          <w:rFonts w:ascii="標楷體" w:eastAsia="標楷體" w:hAnsi="標楷體" w:hint="eastAsia"/>
          <w:b/>
        </w:rPr>
        <w:t xml:space="preserve">國外市場分析報告 </w:t>
      </w:r>
      <w:r w:rsidR="00C027CE" w:rsidRPr="006F7D96">
        <w:rPr>
          <w:rFonts w:ascii="標楷體" w:eastAsia="標楷體" w:hAnsi="標楷體" w:hint="eastAsia"/>
          <w:b/>
        </w:rPr>
        <w:t xml:space="preserve">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9B5CF7" w:rsidRPr="00AF0B08" w:rsidRDefault="00C027CE" w:rsidP="00AF0B08">
      <w:pPr>
        <w:pStyle w:val="7"/>
        <w:spacing w:line="400" w:lineRule="exact"/>
        <w:ind w:left="284" w:firstLine="0"/>
        <w:jc w:val="both"/>
        <w:textDirection w:val="lrTbV"/>
        <w:rPr>
          <w:rFonts w:ascii="標楷體" w:eastAsia="標楷體" w:hAnsi="標楷體"/>
          <w:szCs w:val="24"/>
        </w:rPr>
      </w:pPr>
      <w:r w:rsidRPr="009B242C">
        <w:rPr>
          <w:rFonts w:ascii="標楷體" w:eastAsia="標楷體" w:hAnsi="標楷體" w:hint="eastAsia"/>
        </w:rPr>
        <w:t>(一)廠商應給付之標的及工作事項：</w:t>
      </w:r>
      <w:r w:rsidR="00FF5C3A">
        <w:rPr>
          <w:rFonts w:ascii="標楷體" w:eastAsia="標楷體" w:hAnsi="標楷體" w:hint="eastAsia"/>
          <w:szCs w:val="24"/>
          <w:u w:val="single"/>
        </w:rPr>
        <w:t xml:space="preserve">國外市場分析報告 </w:t>
      </w:r>
      <w:r w:rsidR="00D627E5">
        <w:rPr>
          <w:rFonts w:ascii="標楷體" w:eastAsia="標楷體" w:hAnsi="標楷體" w:hint="eastAsia"/>
          <w:szCs w:val="24"/>
          <w:u w:val="single"/>
        </w:rPr>
        <w:t xml:space="preserve"> </w:t>
      </w:r>
      <w:r w:rsidR="00AF0B08" w:rsidRPr="00367AE0">
        <w:rPr>
          <w:rFonts w:ascii="標楷體" w:eastAsia="標楷體" w:hAnsi="標楷體" w:hint="eastAsia"/>
          <w:szCs w:val="24"/>
          <w:u w:val="single"/>
        </w:rPr>
        <w:t xml:space="preserve"> </w:t>
      </w:r>
      <w:r w:rsidR="00FD2296">
        <w:rPr>
          <w:rFonts w:ascii="標楷體" w:eastAsia="標楷體" w:hAnsi="標楷體" w:hint="eastAsia"/>
          <w:szCs w:val="24"/>
          <w:u w:val="single"/>
        </w:rPr>
        <w:t>8本</w:t>
      </w:r>
    </w:p>
    <w:p w:rsidR="00C027CE" w:rsidRPr="006F7D96" w:rsidRDefault="00C027CE" w:rsidP="009B5CF7">
      <w:pPr>
        <w:spacing w:line="400" w:lineRule="exact"/>
        <w:ind w:left="794" w:hanging="51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B3F55" w:rsidRDefault="002B3F55"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867AFF"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FF5C3A" w:rsidP="00C027CE">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sym w:font="Wingdings 2" w:char="F0A2"/>
      </w:r>
      <w:r w:rsidR="00C027CE" w:rsidRPr="00222EA6">
        <w:rPr>
          <w:rFonts w:ascii="標楷體" w:eastAsia="標楷體" w:hAnsi="標楷體" w:hint="eastAsia"/>
        </w:rPr>
        <w:t>廠商應於</w:t>
      </w:r>
      <w:r w:rsidR="00C027CE" w:rsidRPr="00222EA6">
        <w:rPr>
          <w:rFonts w:ascii="標楷體" w:eastAsia="標楷體" w:hAnsi="標楷體" w:hint="eastAsia"/>
          <w:u w:val="single"/>
        </w:rPr>
        <w:t xml:space="preserve"> </w:t>
      </w:r>
      <w:r>
        <w:rPr>
          <w:rFonts w:ascii="標楷體" w:eastAsia="標楷體" w:hAnsi="標楷體" w:hint="eastAsia"/>
          <w:u w:val="single"/>
        </w:rPr>
        <w:t>106</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年</w:t>
      </w:r>
      <w:r w:rsidR="00C027CE" w:rsidRPr="00222EA6">
        <w:rPr>
          <w:rFonts w:ascii="標楷體" w:eastAsia="標楷體" w:hAnsi="標楷體" w:hint="eastAsia"/>
          <w:u w:val="single"/>
        </w:rPr>
        <w:t xml:space="preserve"> </w:t>
      </w:r>
      <w:r>
        <w:rPr>
          <w:rFonts w:ascii="標楷體" w:eastAsia="標楷體" w:hAnsi="標楷體" w:hint="eastAsia"/>
          <w:u w:val="single"/>
        </w:rPr>
        <w:t>11</w:t>
      </w:r>
      <w:r w:rsidR="00C027CE" w:rsidRPr="00222EA6">
        <w:rPr>
          <w:rFonts w:ascii="標楷體" w:eastAsia="標楷體" w:hAnsi="標楷體" w:hint="eastAsia"/>
        </w:rPr>
        <w:t>月</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日以前或(</w:t>
      </w:r>
      <w:r w:rsidRPr="00222EA6">
        <w:rPr>
          <w:rFonts w:ascii="標楷體" w:eastAsia="標楷體" w:hAnsi="標楷體" w:hint="eastAsia"/>
        </w:rPr>
        <w:sym w:font="Wingdings 2" w:char="F0A2"/>
      </w:r>
      <w:r w:rsidR="00C027CE" w:rsidRPr="00222EA6">
        <w:rPr>
          <w:rFonts w:ascii="標楷體" w:eastAsia="標楷體" w:hAnsi="標楷體" w:hint="eastAsia"/>
        </w:rPr>
        <w:t>決標日□機關簽約日□機關通知日□收到信用狀日)起</w:t>
      </w:r>
      <w:r w:rsidR="00C027CE" w:rsidRPr="00222EA6">
        <w:rPr>
          <w:rFonts w:ascii="標楷體" w:eastAsia="標楷體" w:hAnsi="標楷體" w:hint="eastAsia"/>
          <w:u w:val="single"/>
        </w:rPr>
        <w:t xml:space="preserve"> </w:t>
      </w:r>
      <w:r>
        <w:rPr>
          <w:rFonts w:ascii="標楷體" w:eastAsia="標楷體" w:hAnsi="標楷體" w:hint="eastAsia"/>
          <w:u w:val="single"/>
        </w:rPr>
        <w:t>15</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天/月內將採購標的送達</w:t>
      </w:r>
      <w:r>
        <w:rPr>
          <w:rFonts w:ascii="標楷體" w:eastAsia="標楷體" w:hAnsi="標楷體" w:hint="eastAsia"/>
          <w:u w:val="single"/>
        </w:rPr>
        <w:t>本院</w:t>
      </w:r>
      <w:r w:rsidR="00C027CE" w:rsidRPr="00222EA6">
        <w:rPr>
          <w:rFonts w:ascii="標楷體" w:eastAsia="標楷體" w:hAnsi="標楷體" w:hint="eastAsia"/>
        </w:rPr>
        <w:t>(指定之場所)/完成</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(交易條件)。</w:t>
      </w:r>
    </w:p>
    <w:p w:rsidR="00EA1306" w:rsidRDefault="00FF5C3A" w:rsidP="00EA1306">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sidR="0083034A">
        <w:rPr>
          <w:rFonts w:ascii="標楷體" w:eastAsia="標楷體" w:hAnsi="標楷體" w:hint="eastAsia"/>
          <w:u w:val="single"/>
        </w:rPr>
        <w:t xml:space="preserve">  </w:t>
      </w:r>
      <w:r w:rsidR="00EA1306" w:rsidRPr="00222EA6">
        <w:rPr>
          <w:rFonts w:ascii="標楷體" w:eastAsia="標楷體" w:hAnsi="標楷體" w:hint="eastAsia"/>
        </w:rPr>
        <w:t>日以前或(</w:t>
      </w:r>
      <w:r w:rsidRPr="006F7D96">
        <w:rPr>
          <w:rFonts w:ascii="標楷體" w:eastAsia="標楷體" w:hAnsi="標楷體" w:hint="eastAsia"/>
        </w:rPr>
        <w:t>□</w:t>
      </w:r>
      <w:r w:rsidR="00EA1306" w:rsidRPr="00222EA6">
        <w:rPr>
          <w:rFonts w:ascii="標楷體" w:eastAsia="標楷體" w:hAnsi="標楷體" w:hint="eastAsia"/>
        </w:rPr>
        <w:t>決標日□簽約日□收到信用狀日)起</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Pr="00FF5C3A">
        <w:rPr>
          <w:rFonts w:ascii="標楷體" w:eastAsia="標楷體" w:hAnsi="標楷體" w:hint="eastAsia"/>
          <w:u w:val="single"/>
        </w:rPr>
        <w:t xml:space="preserve">   </w:t>
      </w:r>
      <w:r w:rsidR="00EA1306" w:rsidRPr="00222EA6">
        <w:rPr>
          <w:rFonts w:ascii="標楷體" w:eastAsia="標楷體" w:hAnsi="標楷體" w:hint="eastAsia"/>
        </w:rPr>
        <w:t>，安裝測試完畢，且測試結果符合契約規定。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FD7F83" w:rsidRDefault="00BC0F06"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FD7F83" w:rsidRPr="006F7D96">
        <w:rPr>
          <w:rFonts w:ascii="標楷體" w:eastAsia="標楷體" w:hAnsi="標楷體" w:hint="eastAsia"/>
        </w:rPr>
        <w:t>□</w:t>
      </w:r>
      <w:r w:rsidR="00C027CE" w:rsidRPr="00BC0F06">
        <w:rPr>
          <w:rFonts w:ascii="標楷體" w:eastAsia="標楷體" w:hAnsi="標楷體" w:hint="eastAsia"/>
        </w:rPr>
        <w:t>其他：</w:t>
      </w:r>
      <w:r w:rsidR="0083034A">
        <w:rPr>
          <w:rFonts w:ascii="標楷體" w:eastAsia="標楷體" w:hAnsi="標楷體" w:hint="eastAsia"/>
        </w:rPr>
        <w:t xml:space="preserve">  </w:t>
      </w:r>
    </w:p>
    <w:p w:rsidR="00C027CE" w:rsidRPr="006F7D96" w:rsidRDefault="00FD7F83"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797ED3"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一次交清。</w:t>
      </w:r>
    </w:p>
    <w:p w:rsidR="00C027CE" w:rsidRPr="006F7D96" w:rsidRDefault="00797ED3" w:rsidP="00C027CE">
      <w:pPr>
        <w:spacing w:line="400" w:lineRule="exact"/>
        <w:ind w:left="1134" w:right="57" w:hanging="284"/>
        <w:jc w:val="both"/>
        <w:textDirection w:val="lrTbV"/>
        <w:rPr>
          <w:rFonts w:ascii="標楷體" w:eastAsia="標楷體" w:hAnsi="標楷體"/>
        </w:rPr>
      </w:pPr>
      <w:r>
        <w:rPr>
          <w:rFonts w:ascii="標楷體" w:eastAsia="標楷體" w:hAnsi="標楷體" w:hint="eastAsia"/>
        </w:rPr>
        <w:sym w:font="Webdings" w:char="F063"/>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E47018"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5941FE" w:rsidP="00C027CE">
      <w:pPr>
        <w:spacing w:line="400" w:lineRule="exact"/>
        <w:ind w:left="1134" w:right="57" w:hanging="284"/>
        <w:jc w:val="both"/>
        <w:rPr>
          <w:rFonts w:ascii="標楷體" w:eastAsia="標楷體" w:hAnsi="標楷體"/>
        </w:rPr>
      </w:pPr>
      <w:r>
        <w:rPr>
          <w:rFonts w:ascii="新細明體" w:hAnsi="新細明體" w:hint="eastAsia"/>
        </w:rPr>
        <w:t>■</w:t>
      </w:r>
      <w:r w:rsidR="00C027CE" w:rsidRPr="006F7D96">
        <w:rPr>
          <w:rFonts w:ascii="標楷體" w:eastAsia="標楷體" w:hAnsi="標楷體" w:hint="eastAsia"/>
        </w:rPr>
        <w:t>履約保證金於履約驗收合格且無待解決事項後30日內發還</w:t>
      </w:r>
      <w:r w:rsidR="00E47018">
        <w:rPr>
          <w:rFonts w:ascii="標楷體" w:eastAsia="標楷體" w:hAnsi="標楷體" w:hint="eastAsia"/>
          <w:u w:val="single"/>
        </w:rPr>
        <w:t>100</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 (由機關於招標時載明)。其餘之部分於_____(由機關於招標時載明)且無待解決事項後30日內發還。</w:t>
      </w:r>
    </w:p>
    <w:p w:rsidR="00C027CE" w:rsidRPr="006F7D96" w:rsidRDefault="00867AFF"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廠商於履約標的完成驗收付款前應繳納保固保證金。</w:t>
      </w:r>
    </w:p>
    <w:p w:rsidR="00C027CE" w:rsidRPr="006F7D96" w:rsidRDefault="00867AFF"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無初驗程序者，機關應於接獲廠商通知備驗或可得驗收之程序完成後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6D3A3E"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sidR="006D3A3E">
        <w:rPr>
          <w:rFonts w:ascii="標楷體" w:eastAsia="標楷體" w:hAnsi="標楷體" w:hint="eastAsia"/>
        </w:rPr>
        <w:t>起</w:t>
      </w:r>
      <w:r w:rsidRPr="0050552E">
        <w:rPr>
          <w:rFonts w:ascii="標楷體" w:eastAsia="標楷體" w:hAnsi="標楷體" w:hint="eastAsia"/>
        </w:rPr>
        <w:t>保固</w:t>
      </w:r>
      <w:r w:rsidR="0050552E">
        <w:rPr>
          <w:rFonts w:ascii="標楷體" w:eastAsia="標楷體" w:hAnsi="標楷體" w:hint="eastAsia"/>
          <w:u w:val="single"/>
        </w:rPr>
        <w:t xml:space="preserve"> </w:t>
      </w:r>
      <w:r w:rsidR="00867AFF">
        <w:rPr>
          <w:rFonts w:ascii="標楷體" w:eastAsia="標楷體" w:hAnsi="標楷體" w:hint="eastAsia"/>
          <w:u w:val="single"/>
        </w:rPr>
        <w:t xml:space="preserve"> </w:t>
      </w:r>
      <w:r w:rsidR="0086145E" w:rsidRPr="006D3A3E">
        <w:rPr>
          <w:rFonts w:ascii="標楷體" w:eastAsia="標楷體" w:hAnsi="標楷體" w:hint="eastAsia"/>
          <w:u w:val="single"/>
        </w:rPr>
        <w:t xml:space="preserve"> </w:t>
      </w:r>
      <w:r w:rsidR="0086145E" w:rsidRPr="00867AFF">
        <w:rPr>
          <w:rFonts w:ascii="標楷體" w:eastAsia="標楷體" w:hAnsi="標楷體" w:hint="eastAsia"/>
        </w:rPr>
        <w:t>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2B0F63" w:rsidRPr="002B0F63">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行政院公共工程委員會採購申訴審議委員會（地址：110臺北市信義區松仁路3號9樓、電話：02-87897530）</w:t>
      </w:r>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Pr="006F7D96">
        <w:rPr>
          <w:rFonts w:ascii="標楷體" w:eastAsia="標楷體" w:hAnsi="標楷體" w:hint="eastAsia"/>
          <w:szCs w:val="24"/>
        </w:rPr>
        <w:t>：財團法人農業科技研究院</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 責 人：</w:t>
      </w:r>
      <w:r w:rsidR="00BF3337">
        <w:rPr>
          <w:rFonts w:ascii="標楷體" w:eastAsia="標楷體" w:hAnsi="標楷體" w:hint="eastAsia"/>
          <w:szCs w:val="24"/>
        </w:rPr>
        <w:t>李文權</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1A22F2">
      <w:pPr>
        <w:pStyle w:val="a7"/>
        <w:spacing w:line="560" w:lineRule="exact"/>
        <w:ind w:leftChars="500" w:left="1200"/>
        <w:rPr>
          <w:rFonts w:ascii="標楷體" w:eastAsia="標楷體" w:hAnsi="標楷體"/>
          <w:szCs w:val="24"/>
        </w:rPr>
      </w:pPr>
    </w:p>
    <w:p w:rsidR="009C352F" w:rsidRDefault="009C352F" w:rsidP="001A22F2">
      <w:pPr>
        <w:pStyle w:val="a7"/>
        <w:spacing w:line="560" w:lineRule="exact"/>
        <w:ind w:leftChars="500" w:left="1200"/>
        <w:rPr>
          <w:rFonts w:ascii="標楷體" w:eastAsia="標楷體" w:hAnsi="標楷體"/>
          <w:szCs w:val="24"/>
        </w:rPr>
      </w:pPr>
    </w:p>
    <w:p w:rsidR="00836F86" w:rsidRPr="006F7D96" w:rsidRDefault="00836F86" w:rsidP="001A22F2">
      <w:pPr>
        <w:pStyle w:val="a7"/>
        <w:spacing w:line="560" w:lineRule="exact"/>
        <w:ind w:leftChars="500" w:left="1200"/>
        <w:rPr>
          <w:rFonts w:ascii="標楷體" w:eastAsia="標楷體" w:hAnsi="標楷體"/>
          <w:szCs w:val="24"/>
        </w:rPr>
      </w:pP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廠    商：</w:t>
      </w:r>
      <w:r w:rsidR="00F57489" w:rsidRPr="006F7D96">
        <w:rPr>
          <w:rFonts w:ascii="標楷體" w:eastAsia="標楷體" w:hAnsi="標楷體"/>
          <w:szCs w:val="24"/>
        </w:rPr>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w:t>
      </w:r>
      <w:r w:rsidR="00AF3203" w:rsidRPr="006F7D96">
        <w:rPr>
          <w:rFonts w:ascii="標楷體" w:eastAsia="標楷體" w:hAnsi="標楷體" w:hint="eastAsia"/>
          <w:szCs w:val="24"/>
        </w:rPr>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w:t>
      </w:r>
    </w:p>
    <w:p w:rsidR="00024E33" w:rsidRPr="006F7D96" w:rsidRDefault="00024E33" w:rsidP="001A22F2">
      <w:pPr>
        <w:pStyle w:val="a7"/>
        <w:spacing w:line="560" w:lineRule="exact"/>
        <w:ind w:leftChars="500" w:left="12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EA10EE" w:rsidRPr="006F7D96">
        <w:rPr>
          <w:rFonts w:ascii="標楷體" w:eastAsia="標楷體" w:hAnsi="標楷體" w:hint="eastAsia"/>
          <w:szCs w:val="24"/>
        </w:rPr>
        <w:t xml:space="preserve">   </w:t>
      </w:r>
      <w:r w:rsidR="001A22F2">
        <w:rPr>
          <w:rFonts w:ascii="標楷體" w:eastAsia="標楷體" w:hAnsi="標楷體" w:hint="eastAsia"/>
          <w:szCs w:val="24"/>
        </w:rPr>
        <w:t>1</w:t>
      </w:r>
      <w:r w:rsidR="00FF5C3A">
        <w:rPr>
          <w:rFonts w:ascii="標楷體" w:eastAsia="標楷體" w:hAnsi="標楷體" w:hint="eastAsia"/>
          <w:szCs w:val="24"/>
        </w:rPr>
        <w:t>1</w:t>
      </w:r>
      <w:r w:rsidRPr="006F7D96">
        <w:rPr>
          <w:rFonts w:ascii="標楷體" w:eastAsia="標楷體" w:hAnsi="標楷體" w:hint="eastAsia"/>
          <w:szCs w:val="24"/>
        </w:rPr>
        <w:t xml:space="preserve"> </w:t>
      </w:r>
      <w:r w:rsidR="005A74F9">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367AE0" w:rsidRDefault="00367AE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D072DE" w:rsidRPr="006F7D96" w:rsidRDefault="00D072DE" w:rsidP="00D072DE">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r w:rsidRPr="00D072DE">
              <w:rPr>
                <w:rFonts w:ascii="標楷體" w:eastAsia="標楷體" w:hAnsi="標楷體" w:hint="eastAsia"/>
              </w:rPr>
              <w:t xml:space="preserve">   </w:t>
            </w:r>
            <w:r w:rsidR="0033237D">
              <w:rPr>
                <w:rFonts w:ascii="標楷體" w:eastAsia="標楷體" w:hAnsi="標楷體" w:hint="eastAsia"/>
                <w:u w:val="single"/>
              </w:rPr>
              <w:t>10610235</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D072DE" w:rsidRPr="00707030" w:rsidRDefault="00FF5C3A" w:rsidP="00911A22">
            <w:pPr>
              <w:spacing w:line="360" w:lineRule="exact"/>
              <w:rPr>
                <w:rFonts w:ascii="標楷體" w:eastAsia="標楷體" w:hAnsi="標楷體"/>
                <w:u w:val="single"/>
              </w:rPr>
            </w:pPr>
            <w:r>
              <w:rPr>
                <w:rFonts w:ascii="標楷體" w:eastAsia="標楷體" w:hAnsi="標楷體" w:hint="eastAsia"/>
              </w:rPr>
              <w:t xml:space="preserve">國外市場分析報告 </w:t>
            </w:r>
            <w:r w:rsidR="0050552E">
              <w:rPr>
                <w:rFonts w:ascii="標楷體" w:eastAsia="標楷體" w:hAnsi="標楷體" w:hint="eastAsia"/>
              </w:rPr>
              <w:t xml:space="preserve"> </w:t>
            </w:r>
            <w:r w:rsidR="00D627E5">
              <w:rPr>
                <w:rFonts w:ascii="標楷體" w:eastAsia="標楷體" w:hAnsi="標楷體" w:hint="eastAsia"/>
              </w:rPr>
              <w:t xml:space="preserve"> </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不合格原因</w:t>
            </w: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61" w:hangingChars="192" w:hanging="461"/>
              <w:jc w:val="both"/>
              <w:rPr>
                <w:rFonts w:ascii="標楷體" w:eastAsia="標楷體" w:hAnsi="標楷體"/>
              </w:rPr>
            </w:pPr>
            <w:r w:rsidRPr="006F7D96">
              <w:rPr>
                <w:rFonts w:ascii="標楷體" w:eastAsia="標楷體" w:hAnsi="標楷體" w:hint="eastAsia"/>
              </w:rPr>
              <w:t>■6.規格目錄資料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9812" w:type="dxa"/>
            <w:gridSpan w:val="7"/>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1562"/>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資格審查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(第1- </w:t>
            </w:r>
            <w:r>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規格審查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 </w:t>
            </w:r>
            <w:r>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D072DE" w:rsidRPr="006F7D96" w:rsidTr="00846317">
        <w:trPr>
          <w:cantSplit/>
          <w:trHeight w:val="540"/>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D072DE" w:rsidRPr="006F7D96" w:rsidRDefault="00D072DE" w:rsidP="00846317">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367AE0" w:rsidRDefault="00367AE0" w:rsidP="000E41AB">
      <w:pPr>
        <w:pStyle w:val="11"/>
        <w:pBdr>
          <w:between w:val="double" w:sz="12" w:space="1" w:color="auto"/>
        </w:pBdr>
        <w:spacing w:line="280" w:lineRule="exact"/>
        <w:jc w:val="center"/>
        <w:rPr>
          <w:rFonts w:ascii="標楷體" w:eastAsia="標楷體" w:hAnsi="標楷體" w:cs="Arial Unicode MS"/>
          <w:b/>
          <w:sz w:val="28"/>
        </w:rPr>
      </w:pPr>
    </w:p>
    <w:p w:rsidR="002F6FF9" w:rsidRDefault="002F6FF9" w:rsidP="002F6FF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F6FF9" w:rsidRDefault="002F6FF9" w:rsidP="002F6FF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FF5C3A">
        <w:rPr>
          <w:rFonts w:ascii="標楷體" w:eastAsia="標楷體" w:hAnsi="標楷體" w:hint="eastAsia"/>
          <w:szCs w:val="24"/>
        </w:rPr>
        <w:t>國外市場分析報告</w:t>
      </w:r>
      <w:r w:rsidRPr="002F6FF9">
        <w:rPr>
          <w:rFonts w:ascii="標楷體" w:eastAsia="標楷體" w:hAnsi="標楷體" w:hint="eastAsia"/>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F6FF9" w:rsidTr="00F844E2">
        <w:tc>
          <w:tcPr>
            <w:tcW w:w="568" w:type="dxa"/>
            <w:tcBorders>
              <w:top w:val="single" w:sz="6" w:space="0" w:color="auto"/>
              <w:left w:val="thickThinSmallGap" w:sz="24" w:space="0" w:color="auto"/>
              <w:bottom w:val="nil"/>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F6FF9" w:rsidRDefault="002F6FF9" w:rsidP="00F844E2">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4" w:space="0" w:color="auto"/>
              <w:left w:val="thickThinSmallGap" w:sz="24" w:space="0" w:color="auto"/>
              <w:bottom w:val="single" w:sz="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thickThin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dotted" w:sz="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F6FF9" w:rsidRDefault="002F6FF9" w:rsidP="00F844E2">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dotted" w:sz="4" w:space="0" w:color="auto"/>
              <w:left w:val="thickThinSmallGap" w:sz="24" w:space="0" w:color="auto"/>
              <w:bottom w:val="thinThick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F6FF9" w:rsidRDefault="002F6FF9" w:rsidP="00F844E2">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F6FF9" w:rsidRDefault="002F6FF9" w:rsidP="00F844E2">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F6FF9" w:rsidTr="00F844E2">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F6FF9" w:rsidTr="00F844E2">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F6FF9" w:rsidTr="00F844E2">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F6FF9" w:rsidRDefault="002F6FF9" w:rsidP="002F6FF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5D7F10" w:rsidRDefault="005D7F10" w:rsidP="009508EE">
      <w:pPr>
        <w:spacing w:line="400" w:lineRule="exact"/>
        <w:ind w:rightChars="153" w:right="367"/>
        <w:textDirection w:val="lrTbV"/>
        <w:rPr>
          <w:rFonts w:ascii="Bookman Old Style" w:eastAsia="標楷體"/>
          <w:sz w:val="40"/>
        </w:rPr>
      </w:pP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7483E791" wp14:editId="03579850">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93" w:rsidRPr="00F212F0" w:rsidRDefault="001C2693"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1C2693" w:rsidRPr="00F212F0" w:rsidRDefault="001C2693"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527AD5CE" wp14:editId="4D692823">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93" w:rsidRPr="00F212F0" w:rsidRDefault="001C2693"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1C2693" w:rsidRPr="00F212F0" w:rsidRDefault="001C2693"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33237D">
        <w:rPr>
          <w:rFonts w:eastAsia="標楷體"/>
          <w:sz w:val="32"/>
          <w:u w:val="single"/>
        </w:rPr>
        <w:t>10610235</w:t>
      </w:r>
      <w:r w:rsidRPr="006F7D96">
        <w:rPr>
          <w:rFonts w:ascii="Bookman Old Style" w:eastAsia="標楷體" w:hint="eastAsia"/>
          <w:sz w:val="32"/>
          <w:u w:val="single"/>
        </w:rPr>
        <w:t xml:space="preserve">       </w:t>
      </w:r>
      <w:r w:rsidRPr="0086145E">
        <w:rPr>
          <w:rFonts w:ascii="Bookman Old Style" w:eastAsia="標楷體" w:hAnsi="Bookman Old Style" w:hint="eastAsia"/>
          <w:sz w:val="32"/>
          <w:szCs w:val="32"/>
        </w:rPr>
        <w:t>「</w:t>
      </w:r>
      <w:r w:rsidR="00FF5C3A">
        <w:rPr>
          <w:rFonts w:ascii="標楷體" w:eastAsia="標楷體" w:hAnsi="標楷體" w:hint="eastAsia"/>
          <w:sz w:val="32"/>
          <w:szCs w:val="32"/>
        </w:rPr>
        <w:t xml:space="preserve">國外市場分析報告 </w:t>
      </w:r>
      <w:r w:rsidR="00D52B2C" w:rsidRPr="0086145E">
        <w:rPr>
          <w:rFonts w:ascii="標楷體" w:eastAsia="標楷體" w:hAnsi="標楷體" w:hint="eastAsia"/>
          <w:sz w:val="32"/>
          <w:szCs w:val="32"/>
        </w:rPr>
        <w:t>」</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787089">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AD48DF" w:rsidRDefault="009508EE" w:rsidP="00787089">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AD48DF" w:rsidRDefault="00AD48DF" w:rsidP="00AD48DF">
      <w:pPr>
        <w:spacing w:line="400" w:lineRule="exact"/>
        <w:jc w:val="both"/>
        <w:rPr>
          <w:rFonts w:ascii="Bookman Old Style" w:eastAsia="標楷體"/>
          <w:sz w:val="28"/>
          <w:szCs w:val="28"/>
        </w:rPr>
      </w:pPr>
    </w:p>
    <w:p w:rsidR="00AD48DF" w:rsidRPr="00B50630" w:rsidRDefault="00AD48DF" w:rsidP="00AD48DF">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AD48DF" w:rsidRDefault="00AD48DF" w:rsidP="00AD48DF">
      <w:pPr>
        <w:spacing w:line="500" w:lineRule="exact"/>
        <w:ind w:firstLineChars="200" w:firstLine="560"/>
        <w:rPr>
          <w:rFonts w:eastAsia="標楷體" w:hAnsi="標楷體"/>
          <w:sz w:val="28"/>
          <w:szCs w:val="28"/>
        </w:rPr>
      </w:pPr>
    </w:p>
    <w:p w:rsidR="00AD48DF" w:rsidRDefault="00AD48DF" w:rsidP="00AD48DF">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AD48DF" w:rsidRPr="00D4193B" w:rsidTr="00524F96">
        <w:trPr>
          <w:trHeight w:val="878"/>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774"/>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826"/>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tcPr>
          <w:p w:rsidR="00AD48DF" w:rsidRPr="00D4193B" w:rsidRDefault="00AD48DF" w:rsidP="00524F96">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AD48DF" w:rsidRPr="00D4193B" w:rsidRDefault="00AD48DF" w:rsidP="00524F96">
            <w:pPr>
              <w:spacing w:line="500" w:lineRule="exact"/>
              <w:rPr>
                <w:rFonts w:eastAsia="標楷體" w:hAnsi="標楷體"/>
                <w:sz w:val="28"/>
                <w:szCs w:val="28"/>
              </w:rPr>
            </w:pPr>
          </w:p>
        </w:tc>
      </w:tr>
    </w:tbl>
    <w:p w:rsidR="00AD48DF" w:rsidRPr="004B1527" w:rsidRDefault="00AD48DF" w:rsidP="00AD48DF">
      <w:pPr>
        <w:spacing w:line="500" w:lineRule="exact"/>
        <w:ind w:firstLineChars="200" w:firstLine="560"/>
        <w:rPr>
          <w:rFonts w:eastAsia="標楷體"/>
          <w:sz w:val="28"/>
          <w:szCs w:val="28"/>
        </w:rPr>
      </w:pPr>
    </w:p>
    <w:p w:rsidR="00AD48DF" w:rsidRPr="00962595" w:rsidRDefault="00AD48DF" w:rsidP="00AD48DF">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AD48DF" w:rsidRPr="00962595" w:rsidRDefault="00AD48DF" w:rsidP="00AD48DF">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AD48DF" w:rsidRDefault="00AD48DF" w:rsidP="00AD48DF">
      <w:pPr>
        <w:spacing w:line="500" w:lineRule="exact"/>
        <w:ind w:leftChars="1000" w:left="2400"/>
        <w:jc w:val="both"/>
        <w:textDirection w:val="lrTbV"/>
        <w:rPr>
          <w:rFonts w:ascii="標楷體" w:eastAsia="標楷體" w:hAnsi="標楷體"/>
          <w:sz w:val="28"/>
          <w:szCs w:val="28"/>
        </w:rPr>
      </w:pP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AD48DF" w:rsidRPr="00962595" w:rsidRDefault="00AD48DF" w:rsidP="00AD48DF">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AD48DF" w:rsidRDefault="00AD48DF" w:rsidP="00AD48DF">
      <w:pPr>
        <w:jc w:val="center"/>
      </w:pPr>
    </w:p>
    <w:p w:rsidR="00AD48DF" w:rsidRPr="00A526BE" w:rsidRDefault="00AD48DF" w:rsidP="00AD48DF">
      <w:pPr>
        <w:ind w:leftChars="-236" w:left="-566"/>
        <w:jc w:val="center"/>
        <w:rPr>
          <w:rFonts w:ascii="標楷體" w:eastAsia="標楷體" w:hAnsi="標楷體"/>
          <w:b/>
        </w:rPr>
      </w:pPr>
      <w:r w:rsidRPr="00A526BE">
        <w:rPr>
          <w:rFonts w:ascii="標楷體" w:eastAsia="標楷體" w:hAnsi="標楷體" w:hint="eastAsia"/>
          <w:b/>
        </w:rPr>
        <w:t>※廠商填寫採購案履約完成通知書並用印後，請傳真(03</w:t>
      </w:r>
      <w:r w:rsidRPr="00A526BE">
        <w:rPr>
          <w:rFonts w:ascii="標楷體" w:eastAsia="標楷體" w:hAnsi="標楷體"/>
          <w:b/>
        </w:rPr>
        <w:t>-5185013</w:t>
      </w:r>
      <w:r w:rsidRPr="00A526BE">
        <w:rPr>
          <w:rFonts w:ascii="標楷體" w:eastAsia="標楷體" w:hAnsi="標楷體" w:hint="eastAsia"/>
          <w:b/>
        </w:rPr>
        <w:t>)或mail至該案採購承辦人信箱</w:t>
      </w:r>
      <w:r>
        <w:rPr>
          <w:rFonts w:ascii="標楷體" w:eastAsia="標楷體" w:hAnsi="標楷體" w:hint="eastAsia"/>
          <w:b/>
        </w:rPr>
        <w:t>。</w:t>
      </w:r>
    </w:p>
    <w:p w:rsidR="00AD48DF" w:rsidRPr="00AD48DF" w:rsidRDefault="00AD48DF" w:rsidP="00AD48DF">
      <w:pPr>
        <w:spacing w:line="400" w:lineRule="exact"/>
        <w:jc w:val="both"/>
        <w:rPr>
          <w:rFonts w:ascii="Bookman Old Style" w:eastAsia="標楷體" w:hAnsi="Bookman Old Style"/>
          <w:sz w:val="28"/>
          <w:szCs w:val="28"/>
        </w:rPr>
      </w:pPr>
    </w:p>
    <w:p w:rsidR="0057675D" w:rsidRPr="006F7D96" w:rsidRDefault="0057675D" w:rsidP="009508EE">
      <w:pPr>
        <w:pStyle w:val="11"/>
        <w:pBdr>
          <w:between w:val="double" w:sz="12" w:space="1" w:color="auto"/>
        </w:pBdr>
        <w:spacing w:line="340" w:lineRule="exact"/>
        <w:jc w:val="center"/>
      </w:pPr>
    </w:p>
    <w:sectPr w:rsidR="0057675D" w:rsidRPr="006F7D96" w:rsidSect="00604923">
      <w:footerReference w:type="even" r:id="rId10"/>
      <w:footerReference w:type="default" r:id="rId11"/>
      <w:pgSz w:w="11907" w:h="16840" w:code="9"/>
      <w:pgMar w:top="567" w:right="964" w:bottom="567" w:left="1077"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A4" w:rsidRDefault="00667AA4">
      <w:r>
        <w:separator/>
      </w:r>
    </w:p>
  </w:endnote>
  <w:endnote w:type="continuationSeparator" w:id="0">
    <w:p w:rsidR="00667AA4" w:rsidRDefault="0066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93" w:rsidRDefault="001C269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C2693" w:rsidRDefault="001C26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93" w:rsidRDefault="001C269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67AA4">
      <w:rPr>
        <w:rStyle w:val="ae"/>
        <w:noProof/>
      </w:rPr>
      <w:t>1</w:t>
    </w:r>
    <w:r>
      <w:rPr>
        <w:rStyle w:val="ae"/>
      </w:rPr>
      <w:fldChar w:fldCharType="end"/>
    </w:r>
  </w:p>
  <w:p w:rsidR="001C2693" w:rsidRDefault="001C26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A4" w:rsidRDefault="00667AA4">
      <w:r>
        <w:separator/>
      </w:r>
    </w:p>
  </w:footnote>
  <w:footnote w:type="continuationSeparator" w:id="0">
    <w:p w:rsidR="00667AA4" w:rsidRDefault="00667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4DD3924"/>
    <w:multiLevelType w:val="hybridMultilevel"/>
    <w:tmpl w:val="C00AFA14"/>
    <w:lvl w:ilvl="0" w:tplc="0409001B">
      <w:start w:val="1"/>
      <w:numFmt w:val="lowerRoman"/>
      <w:lvlText w:val="%1."/>
      <w:lvlJc w:val="right"/>
      <w:pPr>
        <w:ind w:left="480" w:hanging="480"/>
      </w:pPr>
    </w:lvl>
    <w:lvl w:ilvl="1" w:tplc="E014FEAA">
      <w:start w:val="1"/>
      <w:numFmt w:val="decimal"/>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425F3"/>
    <w:multiLevelType w:val="hybridMultilevel"/>
    <w:tmpl w:val="44EED208"/>
    <w:lvl w:ilvl="0" w:tplc="671E6190">
      <w:start w:val="1"/>
      <w:numFmt w:val="decimal"/>
      <w:lvlText w:val="3.%1"/>
      <w:lvlJc w:val="left"/>
      <w:pPr>
        <w:ind w:left="905" w:hanging="480"/>
      </w:pPr>
      <w:rPr>
        <w:rFonts w:ascii="Times New Roman" w:hAnsi="Times New Roman" w:cs="Times New Roman"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BB24A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F82291F"/>
    <w:multiLevelType w:val="hybridMultilevel"/>
    <w:tmpl w:val="B4B2A0D4"/>
    <w:lvl w:ilvl="0" w:tplc="D3CCE848">
      <w:start w:val="1"/>
      <w:numFmt w:val="decimal"/>
      <w:lvlText w:val="%1."/>
      <w:lvlJc w:val="left"/>
      <w:pPr>
        <w:ind w:left="360"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4523FEE"/>
    <w:multiLevelType w:val="hybridMultilevel"/>
    <w:tmpl w:val="C05867C6"/>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nsid w:val="16F314FB"/>
    <w:multiLevelType w:val="hybridMultilevel"/>
    <w:tmpl w:val="1EBA0D44"/>
    <w:lvl w:ilvl="0" w:tplc="6E3EB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C4F97"/>
    <w:multiLevelType w:val="singleLevel"/>
    <w:tmpl w:val="0409000F"/>
    <w:lvl w:ilvl="0">
      <w:start w:val="1"/>
      <w:numFmt w:val="decimal"/>
      <w:lvlText w:val="%1."/>
      <w:lvlJc w:val="left"/>
      <w:pPr>
        <w:tabs>
          <w:tab w:val="num" w:pos="425"/>
        </w:tabs>
        <w:ind w:left="425" w:hanging="425"/>
      </w:p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4D958E6"/>
    <w:multiLevelType w:val="hybridMultilevel"/>
    <w:tmpl w:val="659803B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nsid w:val="2AC214B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CC716D3"/>
    <w:multiLevelType w:val="hybridMultilevel"/>
    <w:tmpl w:val="4544D430"/>
    <w:lvl w:ilvl="0" w:tplc="59B4D6CE">
      <w:start w:val="1"/>
      <w:numFmt w:val="decimal"/>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3">
    <w:nsid w:val="43ED176B"/>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B85008"/>
    <w:multiLevelType w:val="hybridMultilevel"/>
    <w:tmpl w:val="1D046F4E"/>
    <w:lvl w:ilvl="0" w:tplc="9606F21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BD3145F"/>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7932E1"/>
    <w:multiLevelType w:val="hybridMultilevel"/>
    <w:tmpl w:val="1E808E9A"/>
    <w:lvl w:ilvl="0" w:tplc="AE161D6E">
      <w:start w:val="1"/>
      <w:numFmt w:val="bullet"/>
      <w:lvlText w:val="•"/>
      <w:lvlJc w:val="left"/>
      <w:pPr>
        <w:ind w:left="720" w:hanging="480"/>
      </w:pPr>
      <w:rPr>
        <w:rFonts w:ascii="Times New Roman" w:hAnsi="Times New Roman" w:cs="Times New Roman"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17">
    <w:nsid w:val="518B1165"/>
    <w:multiLevelType w:val="hybridMultilevel"/>
    <w:tmpl w:val="1CFEC020"/>
    <w:lvl w:ilvl="0" w:tplc="AE161D6E">
      <w:start w:val="1"/>
      <w:numFmt w:val="bullet"/>
      <w:lvlText w:val="•"/>
      <w:lvlJc w:val="left"/>
      <w:pPr>
        <w:ind w:left="852" w:hanging="480"/>
      </w:pPr>
      <w:rPr>
        <w:rFonts w:ascii="Times New Roman" w:hAnsi="Times New Roman" w:cs="Times New Roman" w:hint="default"/>
      </w:rPr>
    </w:lvl>
    <w:lvl w:ilvl="1" w:tplc="04090003">
      <w:start w:val="1"/>
      <w:numFmt w:val="bullet"/>
      <w:lvlText w:val=""/>
      <w:lvlJc w:val="left"/>
      <w:pPr>
        <w:ind w:left="1332" w:hanging="480"/>
      </w:pPr>
      <w:rPr>
        <w:rFonts w:ascii="Wingdings" w:hAnsi="Wingdings" w:hint="default"/>
      </w:rPr>
    </w:lvl>
    <w:lvl w:ilvl="2" w:tplc="04090005">
      <w:start w:val="1"/>
      <w:numFmt w:val="bullet"/>
      <w:lvlText w:val=""/>
      <w:lvlJc w:val="left"/>
      <w:pPr>
        <w:ind w:left="1812" w:hanging="480"/>
      </w:pPr>
      <w:rPr>
        <w:rFonts w:ascii="Wingdings" w:hAnsi="Wingdings" w:hint="default"/>
      </w:rPr>
    </w:lvl>
    <w:lvl w:ilvl="3" w:tplc="04090001">
      <w:start w:val="1"/>
      <w:numFmt w:val="bullet"/>
      <w:lvlText w:val=""/>
      <w:lvlJc w:val="left"/>
      <w:pPr>
        <w:ind w:left="2292" w:hanging="480"/>
      </w:pPr>
      <w:rPr>
        <w:rFonts w:ascii="Wingdings" w:hAnsi="Wingdings" w:hint="default"/>
      </w:rPr>
    </w:lvl>
    <w:lvl w:ilvl="4" w:tplc="04090003">
      <w:start w:val="1"/>
      <w:numFmt w:val="bullet"/>
      <w:lvlText w:val=""/>
      <w:lvlJc w:val="left"/>
      <w:pPr>
        <w:ind w:left="2772" w:hanging="480"/>
      </w:pPr>
      <w:rPr>
        <w:rFonts w:ascii="Wingdings" w:hAnsi="Wingdings" w:hint="default"/>
      </w:rPr>
    </w:lvl>
    <w:lvl w:ilvl="5" w:tplc="04090005">
      <w:start w:val="1"/>
      <w:numFmt w:val="bullet"/>
      <w:lvlText w:val=""/>
      <w:lvlJc w:val="left"/>
      <w:pPr>
        <w:ind w:left="3252" w:hanging="480"/>
      </w:pPr>
      <w:rPr>
        <w:rFonts w:ascii="Wingdings" w:hAnsi="Wingdings" w:hint="default"/>
      </w:rPr>
    </w:lvl>
    <w:lvl w:ilvl="6" w:tplc="04090001">
      <w:start w:val="1"/>
      <w:numFmt w:val="bullet"/>
      <w:lvlText w:val=""/>
      <w:lvlJc w:val="left"/>
      <w:pPr>
        <w:ind w:left="3732" w:hanging="480"/>
      </w:pPr>
      <w:rPr>
        <w:rFonts w:ascii="Wingdings" w:hAnsi="Wingdings" w:hint="default"/>
      </w:rPr>
    </w:lvl>
    <w:lvl w:ilvl="7" w:tplc="04090003">
      <w:start w:val="1"/>
      <w:numFmt w:val="bullet"/>
      <w:lvlText w:val=""/>
      <w:lvlJc w:val="left"/>
      <w:pPr>
        <w:ind w:left="4212" w:hanging="480"/>
      </w:pPr>
      <w:rPr>
        <w:rFonts w:ascii="Wingdings" w:hAnsi="Wingdings" w:hint="default"/>
      </w:rPr>
    </w:lvl>
    <w:lvl w:ilvl="8" w:tplc="04090005">
      <w:start w:val="1"/>
      <w:numFmt w:val="bullet"/>
      <w:lvlText w:val=""/>
      <w:lvlJc w:val="left"/>
      <w:pPr>
        <w:ind w:left="4692" w:hanging="480"/>
      </w:pPr>
      <w:rPr>
        <w:rFonts w:ascii="Wingdings" w:hAnsi="Wingdings" w:hint="default"/>
      </w:rPr>
    </w:lvl>
  </w:abstractNum>
  <w:abstractNum w:abstractNumId="18">
    <w:nsid w:val="56CC0887"/>
    <w:multiLevelType w:val="hybridMultilevel"/>
    <w:tmpl w:val="836A12C2"/>
    <w:lvl w:ilvl="0" w:tplc="0DCC9A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5BD36C1D"/>
    <w:multiLevelType w:val="hybridMultilevel"/>
    <w:tmpl w:val="7CFA0F94"/>
    <w:lvl w:ilvl="0" w:tplc="12EE75D0">
      <w:start w:val="1"/>
      <w:numFmt w:val="upperLetter"/>
      <w:lvlText w:val="%1."/>
      <w:lvlJc w:val="left"/>
      <w:pPr>
        <w:ind w:left="480" w:hanging="480"/>
      </w:pPr>
      <w:rPr>
        <w:rFonts w:hint="eastAsia"/>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CD7CD1"/>
    <w:multiLevelType w:val="hybridMultilevel"/>
    <w:tmpl w:val="4D2E5E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E8248A"/>
    <w:multiLevelType w:val="hybridMultilevel"/>
    <w:tmpl w:val="FD94BC94"/>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2">
    <w:nsid w:val="60864C55"/>
    <w:multiLevelType w:val="hybridMultilevel"/>
    <w:tmpl w:val="3B246240"/>
    <w:lvl w:ilvl="0" w:tplc="AE161D6E">
      <w:start w:val="1"/>
      <w:numFmt w:val="bullet"/>
      <w:lvlText w:val="•"/>
      <w:lvlJc w:val="left"/>
      <w:pPr>
        <w:ind w:left="1080" w:hanging="480"/>
      </w:pPr>
      <w:rPr>
        <w:rFonts w:ascii="Times New Roman" w:hAnsi="Times New Roman"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3">
    <w:nsid w:val="68CF1786"/>
    <w:multiLevelType w:val="hybridMultilevel"/>
    <w:tmpl w:val="510488DA"/>
    <w:lvl w:ilvl="0" w:tplc="8BDE4054">
      <w:start w:val="1"/>
      <w:numFmt w:val="decimal"/>
      <w:lvlText w:val="%1."/>
      <w:lvlJc w:val="left"/>
      <w:pPr>
        <w:ind w:left="786" w:hanging="360"/>
      </w:pPr>
      <w:rPr>
        <w:rFonts w:hint="default"/>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9D7372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F776770"/>
    <w:multiLevelType w:val="hybridMultilevel"/>
    <w:tmpl w:val="1B12E5B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6">
    <w:nsid w:val="74FA627D"/>
    <w:multiLevelType w:val="hybridMultilevel"/>
    <w:tmpl w:val="632AC9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7926E64"/>
    <w:multiLevelType w:val="hybridMultilevel"/>
    <w:tmpl w:val="83FA707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nsid w:val="79C54343"/>
    <w:multiLevelType w:val="hybridMultilevel"/>
    <w:tmpl w:val="68DEA94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9">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0">
    <w:nsid w:val="7B50723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9"/>
  </w:num>
  <w:num w:numId="2">
    <w:abstractNumId w:val="8"/>
  </w:num>
  <w:num w:numId="3">
    <w:abstractNumId w:val="0"/>
  </w:num>
  <w:num w:numId="4">
    <w:abstractNumId w:val="12"/>
  </w:num>
  <w:num w:numId="5">
    <w:abstractNumId w:val="29"/>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6">
    <w:abstractNumId w:val="5"/>
  </w:num>
  <w:num w:numId="7">
    <w:abstractNumId w:val="21"/>
  </w:num>
  <w:num w:numId="8">
    <w:abstractNumId w:val="17"/>
  </w:num>
  <w:num w:numId="9">
    <w:abstractNumId w:val="16"/>
  </w:num>
  <w:num w:numId="10">
    <w:abstractNumId w:val="9"/>
  </w:num>
  <w:num w:numId="11">
    <w:abstractNumId w:val="25"/>
  </w:num>
  <w:num w:numId="12">
    <w:abstractNumId w:val="28"/>
  </w:num>
  <w:num w:numId="13">
    <w:abstractNumId w:val="19"/>
  </w:num>
  <w:num w:numId="14">
    <w:abstractNumId w:val="27"/>
  </w:num>
  <w:num w:numId="15">
    <w:abstractNumId w:val="26"/>
  </w:num>
  <w:num w:numId="16">
    <w:abstractNumId w:val="23"/>
  </w:num>
  <w:num w:numId="17">
    <w:abstractNumId w:val="4"/>
  </w:num>
  <w:num w:numId="18">
    <w:abstractNumId w:val="14"/>
  </w:num>
  <w:num w:numId="19">
    <w:abstractNumId w:val="11"/>
  </w:num>
  <w:num w:numId="20">
    <w:abstractNumId w:val="30"/>
  </w:num>
  <w:num w:numId="21">
    <w:abstractNumId w:val="2"/>
  </w:num>
  <w:num w:numId="22">
    <w:abstractNumId w:val="24"/>
  </w:num>
  <w:num w:numId="23">
    <w:abstractNumId w:val="10"/>
  </w:num>
  <w:num w:numId="24">
    <w:abstractNumId w:val="3"/>
  </w:num>
  <w:num w:numId="25">
    <w:abstractNumId w:val="6"/>
  </w:num>
  <w:num w:numId="26">
    <w:abstractNumId w:val="20"/>
  </w:num>
  <w:num w:numId="27">
    <w:abstractNumId w:val="1"/>
  </w:num>
  <w:num w:numId="28">
    <w:abstractNumId w:val="22"/>
  </w:num>
  <w:num w:numId="29">
    <w:abstractNumId w:val="13"/>
  </w:num>
  <w:num w:numId="30">
    <w:abstractNumId w:val="18"/>
  </w:num>
  <w:num w:numId="31">
    <w:abstractNumId w:val="15"/>
  </w:num>
  <w:num w:numId="32">
    <w:abstractNumId w:val="8"/>
    <w:lvlOverride w:ilvl="0">
      <w:startOverride w:val="1"/>
    </w:lvlOverride>
  </w:num>
  <w:num w:numId="33">
    <w:abstractNumId w:val="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6CB8"/>
    <w:rsid w:val="0001159E"/>
    <w:rsid w:val="00012AED"/>
    <w:rsid w:val="00013C2B"/>
    <w:rsid w:val="0001592D"/>
    <w:rsid w:val="00016F92"/>
    <w:rsid w:val="000173CE"/>
    <w:rsid w:val="0002443E"/>
    <w:rsid w:val="00024E33"/>
    <w:rsid w:val="0002724B"/>
    <w:rsid w:val="00031A7D"/>
    <w:rsid w:val="0003319D"/>
    <w:rsid w:val="000356FC"/>
    <w:rsid w:val="00035E48"/>
    <w:rsid w:val="00040C0A"/>
    <w:rsid w:val="000424CE"/>
    <w:rsid w:val="000435B9"/>
    <w:rsid w:val="00046990"/>
    <w:rsid w:val="00052D3F"/>
    <w:rsid w:val="00056619"/>
    <w:rsid w:val="000642AD"/>
    <w:rsid w:val="00073900"/>
    <w:rsid w:val="0007497A"/>
    <w:rsid w:val="0007534B"/>
    <w:rsid w:val="00075452"/>
    <w:rsid w:val="00075B42"/>
    <w:rsid w:val="00076763"/>
    <w:rsid w:val="00076DCC"/>
    <w:rsid w:val="000777DF"/>
    <w:rsid w:val="00080968"/>
    <w:rsid w:val="0008128A"/>
    <w:rsid w:val="00081BFA"/>
    <w:rsid w:val="00084183"/>
    <w:rsid w:val="000849EA"/>
    <w:rsid w:val="00086759"/>
    <w:rsid w:val="000872BB"/>
    <w:rsid w:val="00087DDC"/>
    <w:rsid w:val="00087E1A"/>
    <w:rsid w:val="0009026A"/>
    <w:rsid w:val="00091930"/>
    <w:rsid w:val="00091AC8"/>
    <w:rsid w:val="00095093"/>
    <w:rsid w:val="0009690B"/>
    <w:rsid w:val="000A3345"/>
    <w:rsid w:val="000A35DE"/>
    <w:rsid w:val="000A4E30"/>
    <w:rsid w:val="000A63CF"/>
    <w:rsid w:val="000B368F"/>
    <w:rsid w:val="000B54FC"/>
    <w:rsid w:val="000C00C3"/>
    <w:rsid w:val="000C038D"/>
    <w:rsid w:val="000C2123"/>
    <w:rsid w:val="000C3782"/>
    <w:rsid w:val="000C5044"/>
    <w:rsid w:val="000C6BC6"/>
    <w:rsid w:val="000D12F8"/>
    <w:rsid w:val="000D23AD"/>
    <w:rsid w:val="000D653A"/>
    <w:rsid w:val="000D7629"/>
    <w:rsid w:val="000E04B0"/>
    <w:rsid w:val="000E1F97"/>
    <w:rsid w:val="000E41AB"/>
    <w:rsid w:val="000E64A9"/>
    <w:rsid w:val="000F0CAA"/>
    <w:rsid w:val="000F1716"/>
    <w:rsid w:val="000F3C97"/>
    <w:rsid w:val="000F4BA2"/>
    <w:rsid w:val="000F6F93"/>
    <w:rsid w:val="0010196D"/>
    <w:rsid w:val="00102F54"/>
    <w:rsid w:val="001033D4"/>
    <w:rsid w:val="00104994"/>
    <w:rsid w:val="00110A5E"/>
    <w:rsid w:val="001136C8"/>
    <w:rsid w:val="0011396D"/>
    <w:rsid w:val="00116715"/>
    <w:rsid w:val="00116A25"/>
    <w:rsid w:val="00120F22"/>
    <w:rsid w:val="00121106"/>
    <w:rsid w:val="00122A0D"/>
    <w:rsid w:val="00124B5D"/>
    <w:rsid w:val="001257DF"/>
    <w:rsid w:val="00126A35"/>
    <w:rsid w:val="00126C9F"/>
    <w:rsid w:val="001279AA"/>
    <w:rsid w:val="001300A8"/>
    <w:rsid w:val="001332C1"/>
    <w:rsid w:val="0013511F"/>
    <w:rsid w:val="0013546F"/>
    <w:rsid w:val="0013625E"/>
    <w:rsid w:val="00140EFF"/>
    <w:rsid w:val="001415B6"/>
    <w:rsid w:val="001422FD"/>
    <w:rsid w:val="00142431"/>
    <w:rsid w:val="00144BC0"/>
    <w:rsid w:val="00146100"/>
    <w:rsid w:val="0014750D"/>
    <w:rsid w:val="00153424"/>
    <w:rsid w:val="00153E4A"/>
    <w:rsid w:val="001601AF"/>
    <w:rsid w:val="001606E5"/>
    <w:rsid w:val="001635BC"/>
    <w:rsid w:val="0016729F"/>
    <w:rsid w:val="00167F0F"/>
    <w:rsid w:val="00172C26"/>
    <w:rsid w:val="001732A5"/>
    <w:rsid w:val="0017648A"/>
    <w:rsid w:val="00180F20"/>
    <w:rsid w:val="001834A4"/>
    <w:rsid w:val="00184023"/>
    <w:rsid w:val="00190FD0"/>
    <w:rsid w:val="00192AA3"/>
    <w:rsid w:val="001A12BB"/>
    <w:rsid w:val="001A22F2"/>
    <w:rsid w:val="001A24F7"/>
    <w:rsid w:val="001A5080"/>
    <w:rsid w:val="001A6DC9"/>
    <w:rsid w:val="001A6E4A"/>
    <w:rsid w:val="001B44BD"/>
    <w:rsid w:val="001B4FD3"/>
    <w:rsid w:val="001C2693"/>
    <w:rsid w:val="001C2AA8"/>
    <w:rsid w:val="001C5132"/>
    <w:rsid w:val="001C6248"/>
    <w:rsid w:val="001D3073"/>
    <w:rsid w:val="001D7145"/>
    <w:rsid w:val="001E07CD"/>
    <w:rsid w:val="001E0CF5"/>
    <w:rsid w:val="001E1CC9"/>
    <w:rsid w:val="001E2229"/>
    <w:rsid w:val="001E6293"/>
    <w:rsid w:val="001F2B81"/>
    <w:rsid w:val="001F4196"/>
    <w:rsid w:val="001F447E"/>
    <w:rsid w:val="001F4B7A"/>
    <w:rsid w:val="001F7BF1"/>
    <w:rsid w:val="0020011C"/>
    <w:rsid w:val="00201822"/>
    <w:rsid w:val="002052A4"/>
    <w:rsid w:val="00206278"/>
    <w:rsid w:val="00210A0E"/>
    <w:rsid w:val="00210EBA"/>
    <w:rsid w:val="002115A4"/>
    <w:rsid w:val="00214739"/>
    <w:rsid w:val="0021478C"/>
    <w:rsid w:val="0021757D"/>
    <w:rsid w:val="002204F4"/>
    <w:rsid w:val="002210FD"/>
    <w:rsid w:val="00221F0D"/>
    <w:rsid w:val="00222EA6"/>
    <w:rsid w:val="00225461"/>
    <w:rsid w:val="00225CE2"/>
    <w:rsid w:val="00227EC9"/>
    <w:rsid w:val="00236D78"/>
    <w:rsid w:val="0024194F"/>
    <w:rsid w:val="00241BEC"/>
    <w:rsid w:val="0024207E"/>
    <w:rsid w:val="00244F8D"/>
    <w:rsid w:val="0024558E"/>
    <w:rsid w:val="00245660"/>
    <w:rsid w:val="00245B34"/>
    <w:rsid w:val="00247C54"/>
    <w:rsid w:val="00247DC0"/>
    <w:rsid w:val="0025535E"/>
    <w:rsid w:val="00257ED5"/>
    <w:rsid w:val="00257FBD"/>
    <w:rsid w:val="00260F5F"/>
    <w:rsid w:val="00262C51"/>
    <w:rsid w:val="00267740"/>
    <w:rsid w:val="002715B7"/>
    <w:rsid w:val="002719E0"/>
    <w:rsid w:val="00271B10"/>
    <w:rsid w:val="0027374D"/>
    <w:rsid w:val="0028267C"/>
    <w:rsid w:val="00285904"/>
    <w:rsid w:val="00290191"/>
    <w:rsid w:val="00295006"/>
    <w:rsid w:val="00296B3C"/>
    <w:rsid w:val="002A52F8"/>
    <w:rsid w:val="002B0D6E"/>
    <w:rsid w:val="002B0F63"/>
    <w:rsid w:val="002B3228"/>
    <w:rsid w:val="002B33D7"/>
    <w:rsid w:val="002B3499"/>
    <w:rsid w:val="002B3F55"/>
    <w:rsid w:val="002B4CD3"/>
    <w:rsid w:val="002B76A5"/>
    <w:rsid w:val="002B7C99"/>
    <w:rsid w:val="002C2A6A"/>
    <w:rsid w:val="002C6317"/>
    <w:rsid w:val="002C6C2E"/>
    <w:rsid w:val="002D18C6"/>
    <w:rsid w:val="002D2DBE"/>
    <w:rsid w:val="002D34C0"/>
    <w:rsid w:val="002D45DB"/>
    <w:rsid w:val="002D5F6F"/>
    <w:rsid w:val="002D70E1"/>
    <w:rsid w:val="002D745E"/>
    <w:rsid w:val="002E0189"/>
    <w:rsid w:val="002E0FF0"/>
    <w:rsid w:val="002E14B3"/>
    <w:rsid w:val="002E23B8"/>
    <w:rsid w:val="002E4F8C"/>
    <w:rsid w:val="002E577E"/>
    <w:rsid w:val="002F0667"/>
    <w:rsid w:val="002F699D"/>
    <w:rsid w:val="002F6A08"/>
    <w:rsid w:val="002F6FF9"/>
    <w:rsid w:val="002F7141"/>
    <w:rsid w:val="003027D0"/>
    <w:rsid w:val="0030453F"/>
    <w:rsid w:val="003053E8"/>
    <w:rsid w:val="00305E20"/>
    <w:rsid w:val="00306567"/>
    <w:rsid w:val="00314991"/>
    <w:rsid w:val="00314B6B"/>
    <w:rsid w:val="00315236"/>
    <w:rsid w:val="00315305"/>
    <w:rsid w:val="0031634A"/>
    <w:rsid w:val="00321B5E"/>
    <w:rsid w:val="00321CBF"/>
    <w:rsid w:val="003222C6"/>
    <w:rsid w:val="0032551D"/>
    <w:rsid w:val="00325ED3"/>
    <w:rsid w:val="00326AEB"/>
    <w:rsid w:val="00326FC5"/>
    <w:rsid w:val="0033237D"/>
    <w:rsid w:val="00333646"/>
    <w:rsid w:val="00334D99"/>
    <w:rsid w:val="003400A4"/>
    <w:rsid w:val="00341842"/>
    <w:rsid w:val="00345700"/>
    <w:rsid w:val="003473DE"/>
    <w:rsid w:val="00351A46"/>
    <w:rsid w:val="003528F0"/>
    <w:rsid w:val="003577BC"/>
    <w:rsid w:val="00365C47"/>
    <w:rsid w:val="00367AE0"/>
    <w:rsid w:val="00371AB1"/>
    <w:rsid w:val="00371FA3"/>
    <w:rsid w:val="003723FD"/>
    <w:rsid w:val="00381AF4"/>
    <w:rsid w:val="0038398A"/>
    <w:rsid w:val="00383C89"/>
    <w:rsid w:val="00383E90"/>
    <w:rsid w:val="0038536B"/>
    <w:rsid w:val="003863E5"/>
    <w:rsid w:val="00387283"/>
    <w:rsid w:val="00387960"/>
    <w:rsid w:val="00387B0F"/>
    <w:rsid w:val="00390C75"/>
    <w:rsid w:val="0039145B"/>
    <w:rsid w:val="003931E0"/>
    <w:rsid w:val="003932EF"/>
    <w:rsid w:val="00395093"/>
    <w:rsid w:val="00395DE1"/>
    <w:rsid w:val="003A6088"/>
    <w:rsid w:val="003B3C44"/>
    <w:rsid w:val="003B5DE1"/>
    <w:rsid w:val="003B6BE7"/>
    <w:rsid w:val="003B6D1F"/>
    <w:rsid w:val="003B7758"/>
    <w:rsid w:val="003B775B"/>
    <w:rsid w:val="003C063D"/>
    <w:rsid w:val="003C5BB7"/>
    <w:rsid w:val="003C5EB5"/>
    <w:rsid w:val="003C7A57"/>
    <w:rsid w:val="003D278E"/>
    <w:rsid w:val="003D4FC6"/>
    <w:rsid w:val="003D566A"/>
    <w:rsid w:val="003D75FA"/>
    <w:rsid w:val="003E0315"/>
    <w:rsid w:val="003E099C"/>
    <w:rsid w:val="003E1491"/>
    <w:rsid w:val="003E2845"/>
    <w:rsid w:val="003E3133"/>
    <w:rsid w:val="003E4D1A"/>
    <w:rsid w:val="003E66F1"/>
    <w:rsid w:val="003F0C81"/>
    <w:rsid w:val="003F1287"/>
    <w:rsid w:val="003F2D6E"/>
    <w:rsid w:val="003F489D"/>
    <w:rsid w:val="003F5331"/>
    <w:rsid w:val="003F589B"/>
    <w:rsid w:val="003F66A9"/>
    <w:rsid w:val="003F7668"/>
    <w:rsid w:val="003F7FED"/>
    <w:rsid w:val="004015BE"/>
    <w:rsid w:val="00402DDC"/>
    <w:rsid w:val="00407E9B"/>
    <w:rsid w:val="00411B6E"/>
    <w:rsid w:val="00411F96"/>
    <w:rsid w:val="00414519"/>
    <w:rsid w:val="00420677"/>
    <w:rsid w:val="00430263"/>
    <w:rsid w:val="004327B0"/>
    <w:rsid w:val="00433646"/>
    <w:rsid w:val="0043483C"/>
    <w:rsid w:val="00437FB7"/>
    <w:rsid w:val="00443E6E"/>
    <w:rsid w:val="00443E89"/>
    <w:rsid w:val="00446109"/>
    <w:rsid w:val="0044636D"/>
    <w:rsid w:val="00446C17"/>
    <w:rsid w:val="0045213D"/>
    <w:rsid w:val="004548C4"/>
    <w:rsid w:val="004555E7"/>
    <w:rsid w:val="00456106"/>
    <w:rsid w:val="00461475"/>
    <w:rsid w:val="00461836"/>
    <w:rsid w:val="00464C4A"/>
    <w:rsid w:val="00466AB7"/>
    <w:rsid w:val="0047464D"/>
    <w:rsid w:val="00480B81"/>
    <w:rsid w:val="00480C34"/>
    <w:rsid w:val="00483FBD"/>
    <w:rsid w:val="00486232"/>
    <w:rsid w:val="00486AEB"/>
    <w:rsid w:val="00487070"/>
    <w:rsid w:val="00490270"/>
    <w:rsid w:val="0049090F"/>
    <w:rsid w:val="00491372"/>
    <w:rsid w:val="0049562C"/>
    <w:rsid w:val="00497DD7"/>
    <w:rsid w:val="004A023C"/>
    <w:rsid w:val="004A2FFB"/>
    <w:rsid w:val="004A600B"/>
    <w:rsid w:val="004A6A8D"/>
    <w:rsid w:val="004A6FA6"/>
    <w:rsid w:val="004A7ADC"/>
    <w:rsid w:val="004B0AEB"/>
    <w:rsid w:val="004B3C1D"/>
    <w:rsid w:val="004B5920"/>
    <w:rsid w:val="004C0F91"/>
    <w:rsid w:val="004C6681"/>
    <w:rsid w:val="004D1547"/>
    <w:rsid w:val="004D295D"/>
    <w:rsid w:val="004D33D2"/>
    <w:rsid w:val="004D65D8"/>
    <w:rsid w:val="004D6605"/>
    <w:rsid w:val="004D73BA"/>
    <w:rsid w:val="004E4A0F"/>
    <w:rsid w:val="004F0EC0"/>
    <w:rsid w:val="004F21E2"/>
    <w:rsid w:val="004F2247"/>
    <w:rsid w:val="004F3D2D"/>
    <w:rsid w:val="004F5001"/>
    <w:rsid w:val="004F75AB"/>
    <w:rsid w:val="00500587"/>
    <w:rsid w:val="005023CC"/>
    <w:rsid w:val="00502682"/>
    <w:rsid w:val="005038EB"/>
    <w:rsid w:val="0050552E"/>
    <w:rsid w:val="0051161A"/>
    <w:rsid w:val="005143EC"/>
    <w:rsid w:val="00515389"/>
    <w:rsid w:val="005156F2"/>
    <w:rsid w:val="00516B7C"/>
    <w:rsid w:val="0051739D"/>
    <w:rsid w:val="0052090D"/>
    <w:rsid w:val="00523657"/>
    <w:rsid w:val="00524F96"/>
    <w:rsid w:val="00525F5F"/>
    <w:rsid w:val="00526931"/>
    <w:rsid w:val="00526C30"/>
    <w:rsid w:val="00527271"/>
    <w:rsid w:val="0052761C"/>
    <w:rsid w:val="00530362"/>
    <w:rsid w:val="00531875"/>
    <w:rsid w:val="005330AF"/>
    <w:rsid w:val="005357A1"/>
    <w:rsid w:val="005366EA"/>
    <w:rsid w:val="00537F0B"/>
    <w:rsid w:val="00541314"/>
    <w:rsid w:val="00541572"/>
    <w:rsid w:val="0054308C"/>
    <w:rsid w:val="00543B17"/>
    <w:rsid w:val="00543C5D"/>
    <w:rsid w:val="0054588B"/>
    <w:rsid w:val="00546132"/>
    <w:rsid w:val="00553873"/>
    <w:rsid w:val="00557FAA"/>
    <w:rsid w:val="00560220"/>
    <w:rsid w:val="00560C56"/>
    <w:rsid w:val="005612AA"/>
    <w:rsid w:val="00561C17"/>
    <w:rsid w:val="0056427E"/>
    <w:rsid w:val="005652C1"/>
    <w:rsid w:val="005664A4"/>
    <w:rsid w:val="00566F01"/>
    <w:rsid w:val="00567455"/>
    <w:rsid w:val="00567BD0"/>
    <w:rsid w:val="00570230"/>
    <w:rsid w:val="0057285E"/>
    <w:rsid w:val="00575C5B"/>
    <w:rsid w:val="0057675D"/>
    <w:rsid w:val="00576F2F"/>
    <w:rsid w:val="00577601"/>
    <w:rsid w:val="005833B1"/>
    <w:rsid w:val="00583CCD"/>
    <w:rsid w:val="00584E7F"/>
    <w:rsid w:val="00586130"/>
    <w:rsid w:val="00586E15"/>
    <w:rsid w:val="00593B5C"/>
    <w:rsid w:val="00594103"/>
    <w:rsid w:val="005941FE"/>
    <w:rsid w:val="00596421"/>
    <w:rsid w:val="00596845"/>
    <w:rsid w:val="0059712B"/>
    <w:rsid w:val="005974E2"/>
    <w:rsid w:val="00597672"/>
    <w:rsid w:val="00597BF1"/>
    <w:rsid w:val="00597F67"/>
    <w:rsid w:val="005A16BD"/>
    <w:rsid w:val="005A1CB7"/>
    <w:rsid w:val="005A3106"/>
    <w:rsid w:val="005A352F"/>
    <w:rsid w:val="005A74F9"/>
    <w:rsid w:val="005B0CC7"/>
    <w:rsid w:val="005B238D"/>
    <w:rsid w:val="005C3787"/>
    <w:rsid w:val="005C3FFB"/>
    <w:rsid w:val="005C4377"/>
    <w:rsid w:val="005C499C"/>
    <w:rsid w:val="005C4A81"/>
    <w:rsid w:val="005D0A71"/>
    <w:rsid w:val="005D30B2"/>
    <w:rsid w:val="005D3C0E"/>
    <w:rsid w:val="005D63C2"/>
    <w:rsid w:val="005D77C7"/>
    <w:rsid w:val="005D7F10"/>
    <w:rsid w:val="005E1E16"/>
    <w:rsid w:val="005E2CA5"/>
    <w:rsid w:val="005E2DFA"/>
    <w:rsid w:val="005E3099"/>
    <w:rsid w:val="005E35A1"/>
    <w:rsid w:val="005E3830"/>
    <w:rsid w:val="005E7AF8"/>
    <w:rsid w:val="005E7FC2"/>
    <w:rsid w:val="005F0103"/>
    <w:rsid w:val="005F1270"/>
    <w:rsid w:val="005F6114"/>
    <w:rsid w:val="005F6432"/>
    <w:rsid w:val="00600113"/>
    <w:rsid w:val="00600F51"/>
    <w:rsid w:val="00604923"/>
    <w:rsid w:val="006049D3"/>
    <w:rsid w:val="00611AFD"/>
    <w:rsid w:val="006169F2"/>
    <w:rsid w:val="00620247"/>
    <w:rsid w:val="00620737"/>
    <w:rsid w:val="00620E01"/>
    <w:rsid w:val="006236A0"/>
    <w:rsid w:val="00624924"/>
    <w:rsid w:val="00627438"/>
    <w:rsid w:val="00627C4D"/>
    <w:rsid w:val="00630D29"/>
    <w:rsid w:val="00633268"/>
    <w:rsid w:val="006357E2"/>
    <w:rsid w:val="006374D0"/>
    <w:rsid w:val="006406CD"/>
    <w:rsid w:val="00641E4F"/>
    <w:rsid w:val="00644E69"/>
    <w:rsid w:val="006507AC"/>
    <w:rsid w:val="00650EC9"/>
    <w:rsid w:val="006542E9"/>
    <w:rsid w:val="00660C0B"/>
    <w:rsid w:val="006636E4"/>
    <w:rsid w:val="00666F31"/>
    <w:rsid w:val="00667AA4"/>
    <w:rsid w:val="006726A7"/>
    <w:rsid w:val="006736B3"/>
    <w:rsid w:val="00676999"/>
    <w:rsid w:val="00677876"/>
    <w:rsid w:val="00680A5E"/>
    <w:rsid w:val="00680F4F"/>
    <w:rsid w:val="00682F87"/>
    <w:rsid w:val="00684CFD"/>
    <w:rsid w:val="00684F93"/>
    <w:rsid w:val="00686BCA"/>
    <w:rsid w:val="00690AF3"/>
    <w:rsid w:val="00690CF3"/>
    <w:rsid w:val="00693EBD"/>
    <w:rsid w:val="00694F18"/>
    <w:rsid w:val="00696AA6"/>
    <w:rsid w:val="00696B39"/>
    <w:rsid w:val="006A08EA"/>
    <w:rsid w:val="006A389E"/>
    <w:rsid w:val="006A3C14"/>
    <w:rsid w:val="006A4BE6"/>
    <w:rsid w:val="006A6105"/>
    <w:rsid w:val="006A6856"/>
    <w:rsid w:val="006B1691"/>
    <w:rsid w:val="006B4FA6"/>
    <w:rsid w:val="006B5AE4"/>
    <w:rsid w:val="006C236B"/>
    <w:rsid w:val="006C4A2F"/>
    <w:rsid w:val="006D005D"/>
    <w:rsid w:val="006D2951"/>
    <w:rsid w:val="006D33F1"/>
    <w:rsid w:val="006D3A3E"/>
    <w:rsid w:val="006D4D1F"/>
    <w:rsid w:val="006D5076"/>
    <w:rsid w:val="006E1EFE"/>
    <w:rsid w:val="006E7581"/>
    <w:rsid w:val="006E7D97"/>
    <w:rsid w:val="006F024E"/>
    <w:rsid w:val="006F056C"/>
    <w:rsid w:val="006F164A"/>
    <w:rsid w:val="006F2326"/>
    <w:rsid w:val="006F25E9"/>
    <w:rsid w:val="006F56DC"/>
    <w:rsid w:val="006F615C"/>
    <w:rsid w:val="006F631D"/>
    <w:rsid w:val="006F6EAA"/>
    <w:rsid w:val="006F7D96"/>
    <w:rsid w:val="00702F2F"/>
    <w:rsid w:val="007042CF"/>
    <w:rsid w:val="00707030"/>
    <w:rsid w:val="00707184"/>
    <w:rsid w:val="0071116C"/>
    <w:rsid w:val="0071248F"/>
    <w:rsid w:val="007127F4"/>
    <w:rsid w:val="007133B0"/>
    <w:rsid w:val="00713A61"/>
    <w:rsid w:val="00720419"/>
    <w:rsid w:val="00726EFF"/>
    <w:rsid w:val="00726FBF"/>
    <w:rsid w:val="00727812"/>
    <w:rsid w:val="007310A7"/>
    <w:rsid w:val="00731CA2"/>
    <w:rsid w:val="007329C9"/>
    <w:rsid w:val="00734882"/>
    <w:rsid w:val="0073547F"/>
    <w:rsid w:val="0073625A"/>
    <w:rsid w:val="00736BA3"/>
    <w:rsid w:val="0074092F"/>
    <w:rsid w:val="00741330"/>
    <w:rsid w:val="0074410C"/>
    <w:rsid w:val="007442A3"/>
    <w:rsid w:val="007450EA"/>
    <w:rsid w:val="00747506"/>
    <w:rsid w:val="00750E15"/>
    <w:rsid w:val="00751118"/>
    <w:rsid w:val="0075178A"/>
    <w:rsid w:val="007564F7"/>
    <w:rsid w:val="00757CD9"/>
    <w:rsid w:val="00760D1A"/>
    <w:rsid w:val="007615A2"/>
    <w:rsid w:val="00765F32"/>
    <w:rsid w:val="0076698F"/>
    <w:rsid w:val="00770120"/>
    <w:rsid w:val="00773D85"/>
    <w:rsid w:val="00776466"/>
    <w:rsid w:val="00776872"/>
    <w:rsid w:val="0077779B"/>
    <w:rsid w:val="00781489"/>
    <w:rsid w:val="00781D52"/>
    <w:rsid w:val="00787089"/>
    <w:rsid w:val="0078748D"/>
    <w:rsid w:val="00787902"/>
    <w:rsid w:val="00790447"/>
    <w:rsid w:val="00791EBD"/>
    <w:rsid w:val="00793F1D"/>
    <w:rsid w:val="00797ED3"/>
    <w:rsid w:val="007A0EB4"/>
    <w:rsid w:val="007A1798"/>
    <w:rsid w:val="007A2146"/>
    <w:rsid w:val="007A372E"/>
    <w:rsid w:val="007A592C"/>
    <w:rsid w:val="007A6E38"/>
    <w:rsid w:val="007B20A8"/>
    <w:rsid w:val="007B3E8A"/>
    <w:rsid w:val="007B536A"/>
    <w:rsid w:val="007B6D03"/>
    <w:rsid w:val="007B6D0E"/>
    <w:rsid w:val="007B6D47"/>
    <w:rsid w:val="007B73FC"/>
    <w:rsid w:val="007C1FA2"/>
    <w:rsid w:val="007C50DD"/>
    <w:rsid w:val="007D04ED"/>
    <w:rsid w:val="007D224D"/>
    <w:rsid w:val="007D429E"/>
    <w:rsid w:val="007D6B11"/>
    <w:rsid w:val="007D7830"/>
    <w:rsid w:val="007E1979"/>
    <w:rsid w:val="007E2E29"/>
    <w:rsid w:val="007E4EFC"/>
    <w:rsid w:val="007E5B9B"/>
    <w:rsid w:val="007E6022"/>
    <w:rsid w:val="007F2331"/>
    <w:rsid w:val="007F2F73"/>
    <w:rsid w:val="007F5EAE"/>
    <w:rsid w:val="007F6D4E"/>
    <w:rsid w:val="00803159"/>
    <w:rsid w:val="00803AB3"/>
    <w:rsid w:val="00810C1F"/>
    <w:rsid w:val="0081402B"/>
    <w:rsid w:val="00814C5D"/>
    <w:rsid w:val="00816015"/>
    <w:rsid w:val="00817881"/>
    <w:rsid w:val="0082116F"/>
    <w:rsid w:val="00823015"/>
    <w:rsid w:val="00824CA2"/>
    <w:rsid w:val="0083034A"/>
    <w:rsid w:val="00833977"/>
    <w:rsid w:val="00836F86"/>
    <w:rsid w:val="00837A32"/>
    <w:rsid w:val="00842667"/>
    <w:rsid w:val="00843D5A"/>
    <w:rsid w:val="00844A40"/>
    <w:rsid w:val="0084611B"/>
    <w:rsid w:val="00846317"/>
    <w:rsid w:val="00850248"/>
    <w:rsid w:val="00853342"/>
    <w:rsid w:val="00855B30"/>
    <w:rsid w:val="00855E98"/>
    <w:rsid w:val="0086137E"/>
    <w:rsid w:val="0086145E"/>
    <w:rsid w:val="00862752"/>
    <w:rsid w:val="00863E48"/>
    <w:rsid w:val="008646D2"/>
    <w:rsid w:val="0086672F"/>
    <w:rsid w:val="008674D7"/>
    <w:rsid w:val="00867AFF"/>
    <w:rsid w:val="008711C0"/>
    <w:rsid w:val="00871A1D"/>
    <w:rsid w:val="00874E20"/>
    <w:rsid w:val="008811C4"/>
    <w:rsid w:val="008822CF"/>
    <w:rsid w:val="008824C4"/>
    <w:rsid w:val="008836DD"/>
    <w:rsid w:val="00884C3A"/>
    <w:rsid w:val="00886050"/>
    <w:rsid w:val="0089280D"/>
    <w:rsid w:val="00894AB8"/>
    <w:rsid w:val="008955B3"/>
    <w:rsid w:val="008A0E36"/>
    <w:rsid w:val="008A3765"/>
    <w:rsid w:val="008A43C9"/>
    <w:rsid w:val="008A52D5"/>
    <w:rsid w:val="008B2786"/>
    <w:rsid w:val="008B30DC"/>
    <w:rsid w:val="008C03C0"/>
    <w:rsid w:val="008C36D1"/>
    <w:rsid w:val="008C6843"/>
    <w:rsid w:val="008D1942"/>
    <w:rsid w:val="008D3068"/>
    <w:rsid w:val="008D3A13"/>
    <w:rsid w:val="008D3FE3"/>
    <w:rsid w:val="008D72CE"/>
    <w:rsid w:val="008E09B0"/>
    <w:rsid w:val="008E1049"/>
    <w:rsid w:val="008E2B65"/>
    <w:rsid w:val="008E4390"/>
    <w:rsid w:val="008E439C"/>
    <w:rsid w:val="008E51B5"/>
    <w:rsid w:val="008F104C"/>
    <w:rsid w:val="008F1564"/>
    <w:rsid w:val="00901BAC"/>
    <w:rsid w:val="00902C9C"/>
    <w:rsid w:val="0090632F"/>
    <w:rsid w:val="00906558"/>
    <w:rsid w:val="00910B80"/>
    <w:rsid w:val="00911A22"/>
    <w:rsid w:val="009155EF"/>
    <w:rsid w:val="0091706B"/>
    <w:rsid w:val="009303D0"/>
    <w:rsid w:val="00931ED0"/>
    <w:rsid w:val="00931F31"/>
    <w:rsid w:val="009320C6"/>
    <w:rsid w:val="00934FD7"/>
    <w:rsid w:val="00936A38"/>
    <w:rsid w:val="009450C4"/>
    <w:rsid w:val="00947E08"/>
    <w:rsid w:val="009508EE"/>
    <w:rsid w:val="00952530"/>
    <w:rsid w:val="00960418"/>
    <w:rsid w:val="00960890"/>
    <w:rsid w:val="009647D3"/>
    <w:rsid w:val="00967C7E"/>
    <w:rsid w:val="00972F2C"/>
    <w:rsid w:val="00972FEC"/>
    <w:rsid w:val="00973B6E"/>
    <w:rsid w:val="009802AD"/>
    <w:rsid w:val="00983C6E"/>
    <w:rsid w:val="009908B8"/>
    <w:rsid w:val="00992DAF"/>
    <w:rsid w:val="009939F6"/>
    <w:rsid w:val="00996565"/>
    <w:rsid w:val="009A1AD0"/>
    <w:rsid w:val="009A439C"/>
    <w:rsid w:val="009A551C"/>
    <w:rsid w:val="009A5787"/>
    <w:rsid w:val="009B242C"/>
    <w:rsid w:val="009B309D"/>
    <w:rsid w:val="009B405F"/>
    <w:rsid w:val="009B5CF7"/>
    <w:rsid w:val="009C2361"/>
    <w:rsid w:val="009C2861"/>
    <w:rsid w:val="009C352F"/>
    <w:rsid w:val="009C4876"/>
    <w:rsid w:val="009C5412"/>
    <w:rsid w:val="009C61D7"/>
    <w:rsid w:val="009C646A"/>
    <w:rsid w:val="009D020D"/>
    <w:rsid w:val="009D1874"/>
    <w:rsid w:val="009D4C66"/>
    <w:rsid w:val="009D685A"/>
    <w:rsid w:val="009E59AE"/>
    <w:rsid w:val="009E5E8C"/>
    <w:rsid w:val="009E5FEB"/>
    <w:rsid w:val="009F03FA"/>
    <w:rsid w:val="009F074E"/>
    <w:rsid w:val="009F25D0"/>
    <w:rsid w:val="009F39FA"/>
    <w:rsid w:val="009F7D44"/>
    <w:rsid w:val="00A00665"/>
    <w:rsid w:val="00A00BCF"/>
    <w:rsid w:val="00A00D15"/>
    <w:rsid w:val="00A02069"/>
    <w:rsid w:val="00A0281C"/>
    <w:rsid w:val="00A04668"/>
    <w:rsid w:val="00A07922"/>
    <w:rsid w:val="00A126A2"/>
    <w:rsid w:val="00A14313"/>
    <w:rsid w:val="00A274F3"/>
    <w:rsid w:val="00A30B9E"/>
    <w:rsid w:val="00A31BC9"/>
    <w:rsid w:val="00A35955"/>
    <w:rsid w:val="00A36710"/>
    <w:rsid w:val="00A370EE"/>
    <w:rsid w:val="00A457CB"/>
    <w:rsid w:val="00A47451"/>
    <w:rsid w:val="00A5051F"/>
    <w:rsid w:val="00A509EE"/>
    <w:rsid w:val="00A541E7"/>
    <w:rsid w:val="00A5423C"/>
    <w:rsid w:val="00A57ABD"/>
    <w:rsid w:val="00A57E7D"/>
    <w:rsid w:val="00A60944"/>
    <w:rsid w:val="00A60A51"/>
    <w:rsid w:val="00A618B6"/>
    <w:rsid w:val="00A61A79"/>
    <w:rsid w:val="00A65D3A"/>
    <w:rsid w:val="00A71E48"/>
    <w:rsid w:val="00A757C8"/>
    <w:rsid w:val="00A77BDC"/>
    <w:rsid w:val="00A81235"/>
    <w:rsid w:val="00A8195B"/>
    <w:rsid w:val="00A917C0"/>
    <w:rsid w:val="00A94802"/>
    <w:rsid w:val="00A95445"/>
    <w:rsid w:val="00A963CE"/>
    <w:rsid w:val="00AA0C38"/>
    <w:rsid w:val="00AA0E7A"/>
    <w:rsid w:val="00AB0B30"/>
    <w:rsid w:val="00AB1C0C"/>
    <w:rsid w:val="00AB2365"/>
    <w:rsid w:val="00AB33EC"/>
    <w:rsid w:val="00AC023E"/>
    <w:rsid w:val="00AC0D9C"/>
    <w:rsid w:val="00AC2AA3"/>
    <w:rsid w:val="00AC7091"/>
    <w:rsid w:val="00AC74B6"/>
    <w:rsid w:val="00AD04F4"/>
    <w:rsid w:val="00AD484E"/>
    <w:rsid w:val="00AD48DF"/>
    <w:rsid w:val="00AD5052"/>
    <w:rsid w:val="00AD54FB"/>
    <w:rsid w:val="00AE11FD"/>
    <w:rsid w:val="00AE25A4"/>
    <w:rsid w:val="00AE47E9"/>
    <w:rsid w:val="00AF0B08"/>
    <w:rsid w:val="00AF3203"/>
    <w:rsid w:val="00AF40A0"/>
    <w:rsid w:val="00AF69C0"/>
    <w:rsid w:val="00B01216"/>
    <w:rsid w:val="00B02178"/>
    <w:rsid w:val="00B02BC1"/>
    <w:rsid w:val="00B0674F"/>
    <w:rsid w:val="00B11648"/>
    <w:rsid w:val="00B12367"/>
    <w:rsid w:val="00B12F18"/>
    <w:rsid w:val="00B13B7C"/>
    <w:rsid w:val="00B13D6A"/>
    <w:rsid w:val="00B160B5"/>
    <w:rsid w:val="00B161AC"/>
    <w:rsid w:val="00B16D72"/>
    <w:rsid w:val="00B17625"/>
    <w:rsid w:val="00B206A0"/>
    <w:rsid w:val="00B210AB"/>
    <w:rsid w:val="00B23258"/>
    <w:rsid w:val="00B27777"/>
    <w:rsid w:val="00B32340"/>
    <w:rsid w:val="00B368CD"/>
    <w:rsid w:val="00B376C4"/>
    <w:rsid w:val="00B37C61"/>
    <w:rsid w:val="00B434F6"/>
    <w:rsid w:val="00B44ECA"/>
    <w:rsid w:val="00B45A69"/>
    <w:rsid w:val="00B46C50"/>
    <w:rsid w:val="00B47F0C"/>
    <w:rsid w:val="00B51D9E"/>
    <w:rsid w:val="00B52A66"/>
    <w:rsid w:val="00B535EC"/>
    <w:rsid w:val="00B634BC"/>
    <w:rsid w:val="00B64CAF"/>
    <w:rsid w:val="00B6695F"/>
    <w:rsid w:val="00B66C96"/>
    <w:rsid w:val="00B71608"/>
    <w:rsid w:val="00B71F95"/>
    <w:rsid w:val="00B737D4"/>
    <w:rsid w:val="00B758C4"/>
    <w:rsid w:val="00B75C88"/>
    <w:rsid w:val="00B76405"/>
    <w:rsid w:val="00B76422"/>
    <w:rsid w:val="00B8280A"/>
    <w:rsid w:val="00B844C4"/>
    <w:rsid w:val="00B86608"/>
    <w:rsid w:val="00B87B7A"/>
    <w:rsid w:val="00B90710"/>
    <w:rsid w:val="00B9085A"/>
    <w:rsid w:val="00B933A0"/>
    <w:rsid w:val="00B978B7"/>
    <w:rsid w:val="00BA06C9"/>
    <w:rsid w:val="00BA1C91"/>
    <w:rsid w:val="00BA46FE"/>
    <w:rsid w:val="00BA76F4"/>
    <w:rsid w:val="00BA7ACC"/>
    <w:rsid w:val="00BB4069"/>
    <w:rsid w:val="00BB42DE"/>
    <w:rsid w:val="00BB5B39"/>
    <w:rsid w:val="00BB7FDB"/>
    <w:rsid w:val="00BC0F06"/>
    <w:rsid w:val="00BC1C99"/>
    <w:rsid w:val="00BC2AC4"/>
    <w:rsid w:val="00BC4A69"/>
    <w:rsid w:val="00BC77B1"/>
    <w:rsid w:val="00BC77CB"/>
    <w:rsid w:val="00BD112E"/>
    <w:rsid w:val="00BD2C3E"/>
    <w:rsid w:val="00BD4FD9"/>
    <w:rsid w:val="00BD5C31"/>
    <w:rsid w:val="00BD6EEA"/>
    <w:rsid w:val="00BE18D6"/>
    <w:rsid w:val="00BE373A"/>
    <w:rsid w:val="00BE6438"/>
    <w:rsid w:val="00BE6B3D"/>
    <w:rsid w:val="00BE7797"/>
    <w:rsid w:val="00BF23A1"/>
    <w:rsid w:val="00BF3337"/>
    <w:rsid w:val="00BF3903"/>
    <w:rsid w:val="00BF7BA6"/>
    <w:rsid w:val="00C00016"/>
    <w:rsid w:val="00C00261"/>
    <w:rsid w:val="00C027CE"/>
    <w:rsid w:val="00C029E5"/>
    <w:rsid w:val="00C02AB1"/>
    <w:rsid w:val="00C02D93"/>
    <w:rsid w:val="00C067E9"/>
    <w:rsid w:val="00C06B14"/>
    <w:rsid w:val="00C07849"/>
    <w:rsid w:val="00C1431E"/>
    <w:rsid w:val="00C14938"/>
    <w:rsid w:val="00C161DE"/>
    <w:rsid w:val="00C17B55"/>
    <w:rsid w:val="00C17DFD"/>
    <w:rsid w:val="00C2293E"/>
    <w:rsid w:val="00C2561F"/>
    <w:rsid w:val="00C25902"/>
    <w:rsid w:val="00C3346D"/>
    <w:rsid w:val="00C33E82"/>
    <w:rsid w:val="00C368BC"/>
    <w:rsid w:val="00C43FFC"/>
    <w:rsid w:val="00C51EFD"/>
    <w:rsid w:val="00C54498"/>
    <w:rsid w:val="00C550A5"/>
    <w:rsid w:val="00C56E46"/>
    <w:rsid w:val="00C648E0"/>
    <w:rsid w:val="00C64A66"/>
    <w:rsid w:val="00C71440"/>
    <w:rsid w:val="00C7239C"/>
    <w:rsid w:val="00C730F1"/>
    <w:rsid w:val="00C74DD6"/>
    <w:rsid w:val="00C7607A"/>
    <w:rsid w:val="00C82B07"/>
    <w:rsid w:val="00C848AD"/>
    <w:rsid w:val="00C875CD"/>
    <w:rsid w:val="00C9202A"/>
    <w:rsid w:val="00C94672"/>
    <w:rsid w:val="00C979BA"/>
    <w:rsid w:val="00CA11F6"/>
    <w:rsid w:val="00CA37B0"/>
    <w:rsid w:val="00CA5240"/>
    <w:rsid w:val="00CA5CE2"/>
    <w:rsid w:val="00CB1ED2"/>
    <w:rsid w:val="00CB3F79"/>
    <w:rsid w:val="00CB440D"/>
    <w:rsid w:val="00CC1535"/>
    <w:rsid w:val="00CC165F"/>
    <w:rsid w:val="00CC32DD"/>
    <w:rsid w:val="00CC3B42"/>
    <w:rsid w:val="00CC7576"/>
    <w:rsid w:val="00CD0415"/>
    <w:rsid w:val="00CD1D1B"/>
    <w:rsid w:val="00CE0B0D"/>
    <w:rsid w:val="00CE1140"/>
    <w:rsid w:val="00CE1F1B"/>
    <w:rsid w:val="00CE6113"/>
    <w:rsid w:val="00CF0264"/>
    <w:rsid w:val="00CF34B2"/>
    <w:rsid w:val="00D001B3"/>
    <w:rsid w:val="00D0275A"/>
    <w:rsid w:val="00D02D0F"/>
    <w:rsid w:val="00D05F58"/>
    <w:rsid w:val="00D072DE"/>
    <w:rsid w:val="00D078F3"/>
    <w:rsid w:val="00D07A1B"/>
    <w:rsid w:val="00D129E4"/>
    <w:rsid w:val="00D14BA2"/>
    <w:rsid w:val="00D150C2"/>
    <w:rsid w:val="00D17DBA"/>
    <w:rsid w:val="00D225F5"/>
    <w:rsid w:val="00D30A9A"/>
    <w:rsid w:val="00D347AD"/>
    <w:rsid w:val="00D3495F"/>
    <w:rsid w:val="00D34E5D"/>
    <w:rsid w:val="00D355A4"/>
    <w:rsid w:val="00D41C03"/>
    <w:rsid w:val="00D4331D"/>
    <w:rsid w:val="00D444DE"/>
    <w:rsid w:val="00D447C8"/>
    <w:rsid w:val="00D447F2"/>
    <w:rsid w:val="00D44BC0"/>
    <w:rsid w:val="00D45352"/>
    <w:rsid w:val="00D47D1F"/>
    <w:rsid w:val="00D5038E"/>
    <w:rsid w:val="00D50D73"/>
    <w:rsid w:val="00D52B2C"/>
    <w:rsid w:val="00D54722"/>
    <w:rsid w:val="00D54741"/>
    <w:rsid w:val="00D5539A"/>
    <w:rsid w:val="00D60354"/>
    <w:rsid w:val="00D627E5"/>
    <w:rsid w:val="00D62990"/>
    <w:rsid w:val="00D64FC6"/>
    <w:rsid w:val="00D65406"/>
    <w:rsid w:val="00D6584C"/>
    <w:rsid w:val="00D668E3"/>
    <w:rsid w:val="00D74D36"/>
    <w:rsid w:val="00D74DDC"/>
    <w:rsid w:val="00D80230"/>
    <w:rsid w:val="00D82BEB"/>
    <w:rsid w:val="00D846C1"/>
    <w:rsid w:val="00D85212"/>
    <w:rsid w:val="00D8649F"/>
    <w:rsid w:val="00D8712C"/>
    <w:rsid w:val="00D901CD"/>
    <w:rsid w:val="00D927BA"/>
    <w:rsid w:val="00D93076"/>
    <w:rsid w:val="00D9368D"/>
    <w:rsid w:val="00D96CFA"/>
    <w:rsid w:val="00DA5C1E"/>
    <w:rsid w:val="00DB2030"/>
    <w:rsid w:val="00DB20A7"/>
    <w:rsid w:val="00DB3267"/>
    <w:rsid w:val="00DB3F40"/>
    <w:rsid w:val="00DB5857"/>
    <w:rsid w:val="00DC1B90"/>
    <w:rsid w:val="00DC3693"/>
    <w:rsid w:val="00DD138C"/>
    <w:rsid w:val="00DE1C8E"/>
    <w:rsid w:val="00DE2AEE"/>
    <w:rsid w:val="00DE2C4B"/>
    <w:rsid w:val="00DE4AAC"/>
    <w:rsid w:val="00DE510D"/>
    <w:rsid w:val="00DE5126"/>
    <w:rsid w:val="00DF08F0"/>
    <w:rsid w:val="00DF29E9"/>
    <w:rsid w:val="00DF3362"/>
    <w:rsid w:val="00DF377E"/>
    <w:rsid w:val="00E0174E"/>
    <w:rsid w:val="00E01A15"/>
    <w:rsid w:val="00E0433E"/>
    <w:rsid w:val="00E047F4"/>
    <w:rsid w:val="00E05206"/>
    <w:rsid w:val="00E11628"/>
    <w:rsid w:val="00E11BD7"/>
    <w:rsid w:val="00E13DC5"/>
    <w:rsid w:val="00E15681"/>
    <w:rsid w:val="00E16B66"/>
    <w:rsid w:val="00E1727B"/>
    <w:rsid w:val="00E23707"/>
    <w:rsid w:val="00E265C0"/>
    <w:rsid w:val="00E30A3B"/>
    <w:rsid w:val="00E40D91"/>
    <w:rsid w:val="00E47018"/>
    <w:rsid w:val="00E524BB"/>
    <w:rsid w:val="00E52D5E"/>
    <w:rsid w:val="00E54795"/>
    <w:rsid w:val="00E6105E"/>
    <w:rsid w:val="00E61A7C"/>
    <w:rsid w:val="00E63032"/>
    <w:rsid w:val="00E65F7D"/>
    <w:rsid w:val="00E67615"/>
    <w:rsid w:val="00E677F5"/>
    <w:rsid w:val="00E72CB8"/>
    <w:rsid w:val="00E735D9"/>
    <w:rsid w:val="00E739CA"/>
    <w:rsid w:val="00E73AE1"/>
    <w:rsid w:val="00E7442C"/>
    <w:rsid w:val="00E7775E"/>
    <w:rsid w:val="00E80ABC"/>
    <w:rsid w:val="00E80C75"/>
    <w:rsid w:val="00E83E1C"/>
    <w:rsid w:val="00E928D1"/>
    <w:rsid w:val="00E943FE"/>
    <w:rsid w:val="00E946B8"/>
    <w:rsid w:val="00E94B61"/>
    <w:rsid w:val="00E94C73"/>
    <w:rsid w:val="00E95085"/>
    <w:rsid w:val="00E975E9"/>
    <w:rsid w:val="00EA0692"/>
    <w:rsid w:val="00EA10EE"/>
    <w:rsid w:val="00EA12BF"/>
    <w:rsid w:val="00EA1306"/>
    <w:rsid w:val="00EA2359"/>
    <w:rsid w:val="00EA3DD7"/>
    <w:rsid w:val="00EB064A"/>
    <w:rsid w:val="00EB24FA"/>
    <w:rsid w:val="00EB2AF8"/>
    <w:rsid w:val="00EB3268"/>
    <w:rsid w:val="00EB342B"/>
    <w:rsid w:val="00EB34FE"/>
    <w:rsid w:val="00EB4DDB"/>
    <w:rsid w:val="00EC0BC5"/>
    <w:rsid w:val="00EC4C85"/>
    <w:rsid w:val="00EC4E5E"/>
    <w:rsid w:val="00EC6216"/>
    <w:rsid w:val="00EC6D36"/>
    <w:rsid w:val="00ED188F"/>
    <w:rsid w:val="00ED3D3A"/>
    <w:rsid w:val="00ED6955"/>
    <w:rsid w:val="00ED7FDE"/>
    <w:rsid w:val="00EE1242"/>
    <w:rsid w:val="00EE5100"/>
    <w:rsid w:val="00EE75AF"/>
    <w:rsid w:val="00EF0337"/>
    <w:rsid w:val="00EF3A4C"/>
    <w:rsid w:val="00EF4C3A"/>
    <w:rsid w:val="00EF651F"/>
    <w:rsid w:val="00EF6CA7"/>
    <w:rsid w:val="00F01FD3"/>
    <w:rsid w:val="00F032C6"/>
    <w:rsid w:val="00F04881"/>
    <w:rsid w:val="00F050F6"/>
    <w:rsid w:val="00F05A47"/>
    <w:rsid w:val="00F06D1E"/>
    <w:rsid w:val="00F116F6"/>
    <w:rsid w:val="00F11CCF"/>
    <w:rsid w:val="00F12B2D"/>
    <w:rsid w:val="00F14941"/>
    <w:rsid w:val="00F14EF4"/>
    <w:rsid w:val="00F23420"/>
    <w:rsid w:val="00F257B9"/>
    <w:rsid w:val="00F30343"/>
    <w:rsid w:val="00F30436"/>
    <w:rsid w:val="00F35D65"/>
    <w:rsid w:val="00F40C95"/>
    <w:rsid w:val="00F4207C"/>
    <w:rsid w:val="00F43AC4"/>
    <w:rsid w:val="00F43ED1"/>
    <w:rsid w:val="00F46550"/>
    <w:rsid w:val="00F51621"/>
    <w:rsid w:val="00F525ED"/>
    <w:rsid w:val="00F5531D"/>
    <w:rsid w:val="00F55C59"/>
    <w:rsid w:val="00F55F11"/>
    <w:rsid w:val="00F57489"/>
    <w:rsid w:val="00F603D1"/>
    <w:rsid w:val="00F60A9C"/>
    <w:rsid w:val="00F62219"/>
    <w:rsid w:val="00F62FB3"/>
    <w:rsid w:val="00F6383F"/>
    <w:rsid w:val="00F642C3"/>
    <w:rsid w:val="00F65045"/>
    <w:rsid w:val="00F66198"/>
    <w:rsid w:val="00F74D14"/>
    <w:rsid w:val="00F754F3"/>
    <w:rsid w:val="00F7590B"/>
    <w:rsid w:val="00F76C24"/>
    <w:rsid w:val="00F831F7"/>
    <w:rsid w:val="00F842B8"/>
    <w:rsid w:val="00F84312"/>
    <w:rsid w:val="00F844E2"/>
    <w:rsid w:val="00F86AFB"/>
    <w:rsid w:val="00F87B3E"/>
    <w:rsid w:val="00F976B1"/>
    <w:rsid w:val="00FA3F62"/>
    <w:rsid w:val="00FA4878"/>
    <w:rsid w:val="00FA5E58"/>
    <w:rsid w:val="00FB2824"/>
    <w:rsid w:val="00FB2FF3"/>
    <w:rsid w:val="00FB4868"/>
    <w:rsid w:val="00FB7C7C"/>
    <w:rsid w:val="00FB7C9A"/>
    <w:rsid w:val="00FB7D12"/>
    <w:rsid w:val="00FC11CF"/>
    <w:rsid w:val="00FC64C1"/>
    <w:rsid w:val="00FD1426"/>
    <w:rsid w:val="00FD2296"/>
    <w:rsid w:val="00FD3A0D"/>
    <w:rsid w:val="00FD44F4"/>
    <w:rsid w:val="00FD5358"/>
    <w:rsid w:val="00FD694E"/>
    <w:rsid w:val="00FD7F83"/>
    <w:rsid w:val="00FE157E"/>
    <w:rsid w:val="00FE17DF"/>
    <w:rsid w:val="00FE3A73"/>
    <w:rsid w:val="00FE3D1F"/>
    <w:rsid w:val="00FF2721"/>
    <w:rsid w:val="00FF5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762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135948560">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5044B"/>
    <w:rsid w:val="000739E0"/>
    <w:rsid w:val="000C2849"/>
    <w:rsid w:val="000E4D82"/>
    <w:rsid w:val="000F1099"/>
    <w:rsid w:val="001372AC"/>
    <w:rsid w:val="001418B4"/>
    <w:rsid w:val="00154DEF"/>
    <w:rsid w:val="00175676"/>
    <w:rsid w:val="001A71F9"/>
    <w:rsid w:val="001D1065"/>
    <w:rsid w:val="00202438"/>
    <w:rsid w:val="00204C40"/>
    <w:rsid w:val="0020541B"/>
    <w:rsid w:val="002132FF"/>
    <w:rsid w:val="0022320C"/>
    <w:rsid w:val="002251D7"/>
    <w:rsid w:val="002455F9"/>
    <w:rsid w:val="00270FEC"/>
    <w:rsid w:val="00290518"/>
    <w:rsid w:val="0029108F"/>
    <w:rsid w:val="002D56B5"/>
    <w:rsid w:val="00301674"/>
    <w:rsid w:val="00333E99"/>
    <w:rsid w:val="003371EF"/>
    <w:rsid w:val="0039520D"/>
    <w:rsid w:val="003A5CB3"/>
    <w:rsid w:val="003A6B94"/>
    <w:rsid w:val="003B2C46"/>
    <w:rsid w:val="003C3584"/>
    <w:rsid w:val="003C49A2"/>
    <w:rsid w:val="003C6AB1"/>
    <w:rsid w:val="003D3790"/>
    <w:rsid w:val="003F7578"/>
    <w:rsid w:val="004603D8"/>
    <w:rsid w:val="00487180"/>
    <w:rsid w:val="0049761F"/>
    <w:rsid w:val="004A64B4"/>
    <w:rsid w:val="004D37A1"/>
    <w:rsid w:val="004E7647"/>
    <w:rsid w:val="0053095D"/>
    <w:rsid w:val="005411AC"/>
    <w:rsid w:val="005916F1"/>
    <w:rsid w:val="005B2E3A"/>
    <w:rsid w:val="005C23F5"/>
    <w:rsid w:val="005D054A"/>
    <w:rsid w:val="005D22D4"/>
    <w:rsid w:val="005D7566"/>
    <w:rsid w:val="005E6FB8"/>
    <w:rsid w:val="005F11E4"/>
    <w:rsid w:val="00614792"/>
    <w:rsid w:val="00634FC5"/>
    <w:rsid w:val="006451CD"/>
    <w:rsid w:val="006559F7"/>
    <w:rsid w:val="006656FD"/>
    <w:rsid w:val="00670CC9"/>
    <w:rsid w:val="00682A60"/>
    <w:rsid w:val="006B7526"/>
    <w:rsid w:val="006C2085"/>
    <w:rsid w:val="00707657"/>
    <w:rsid w:val="00712F8E"/>
    <w:rsid w:val="00730D9E"/>
    <w:rsid w:val="00735991"/>
    <w:rsid w:val="007808A2"/>
    <w:rsid w:val="00794519"/>
    <w:rsid w:val="007A3DBC"/>
    <w:rsid w:val="007A5107"/>
    <w:rsid w:val="007B3844"/>
    <w:rsid w:val="007B7CA5"/>
    <w:rsid w:val="00806D16"/>
    <w:rsid w:val="00807434"/>
    <w:rsid w:val="008153D1"/>
    <w:rsid w:val="00816354"/>
    <w:rsid w:val="00827A6D"/>
    <w:rsid w:val="00867757"/>
    <w:rsid w:val="00874EDD"/>
    <w:rsid w:val="008836B6"/>
    <w:rsid w:val="008906E8"/>
    <w:rsid w:val="008924C3"/>
    <w:rsid w:val="008B11BD"/>
    <w:rsid w:val="008E09C6"/>
    <w:rsid w:val="009111E3"/>
    <w:rsid w:val="00912E75"/>
    <w:rsid w:val="00950AAD"/>
    <w:rsid w:val="00965580"/>
    <w:rsid w:val="00991FF1"/>
    <w:rsid w:val="0099339B"/>
    <w:rsid w:val="009C5BC6"/>
    <w:rsid w:val="009D1719"/>
    <w:rsid w:val="009D1B0E"/>
    <w:rsid w:val="00A52CC0"/>
    <w:rsid w:val="00A5593E"/>
    <w:rsid w:val="00A61BB7"/>
    <w:rsid w:val="00A80F5D"/>
    <w:rsid w:val="00AA6D57"/>
    <w:rsid w:val="00AB11E7"/>
    <w:rsid w:val="00AB2290"/>
    <w:rsid w:val="00AB2B92"/>
    <w:rsid w:val="00AB50C2"/>
    <w:rsid w:val="00AD5079"/>
    <w:rsid w:val="00AE0619"/>
    <w:rsid w:val="00B0399F"/>
    <w:rsid w:val="00B049ED"/>
    <w:rsid w:val="00B14DF4"/>
    <w:rsid w:val="00B847EA"/>
    <w:rsid w:val="00BD65AC"/>
    <w:rsid w:val="00BF2B78"/>
    <w:rsid w:val="00BF31EA"/>
    <w:rsid w:val="00C01AF3"/>
    <w:rsid w:val="00C31190"/>
    <w:rsid w:val="00C3200B"/>
    <w:rsid w:val="00C33574"/>
    <w:rsid w:val="00C33FEB"/>
    <w:rsid w:val="00C918A0"/>
    <w:rsid w:val="00C96971"/>
    <w:rsid w:val="00CD7F1D"/>
    <w:rsid w:val="00D126DB"/>
    <w:rsid w:val="00D13AB2"/>
    <w:rsid w:val="00D16980"/>
    <w:rsid w:val="00D36D3E"/>
    <w:rsid w:val="00D65E46"/>
    <w:rsid w:val="00D749F9"/>
    <w:rsid w:val="00D86C28"/>
    <w:rsid w:val="00DA7C81"/>
    <w:rsid w:val="00DB65AF"/>
    <w:rsid w:val="00DE1110"/>
    <w:rsid w:val="00DE4A41"/>
    <w:rsid w:val="00DE63EB"/>
    <w:rsid w:val="00E027BF"/>
    <w:rsid w:val="00E15E79"/>
    <w:rsid w:val="00E46954"/>
    <w:rsid w:val="00E47D23"/>
    <w:rsid w:val="00E90DDB"/>
    <w:rsid w:val="00EB14BE"/>
    <w:rsid w:val="00EC378A"/>
    <w:rsid w:val="00F051EF"/>
    <w:rsid w:val="00F558B6"/>
    <w:rsid w:val="00F57DD8"/>
    <w:rsid w:val="00F7259B"/>
    <w:rsid w:val="00FC6296"/>
    <w:rsid w:val="00FD64AD"/>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D96E-FB5A-4B42-A0F9-49CF1FC4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6963</Words>
  <Characters>39694</Characters>
  <Application>Microsoft Office Word</Application>
  <DocSecurity>0</DocSecurity>
  <Lines>330</Lines>
  <Paragraphs>93</Paragraphs>
  <ScaleCrop>false</ScaleCrop>
  <Company>mychat</Company>
  <LinksUpToDate>false</LinksUpToDate>
  <CharactersWithSpaces>46564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cp:revision>
  <cp:lastPrinted>2017-11-13T09:24:00Z</cp:lastPrinted>
  <dcterms:created xsi:type="dcterms:W3CDTF">2017-11-13T09:23:00Z</dcterms:created>
  <dcterms:modified xsi:type="dcterms:W3CDTF">2017-11-13T09:29:00Z</dcterms:modified>
</cp:coreProperties>
</file>